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right="0" w:rightChars="0" w:firstLine="0" w:firstLineChars="0"/>
        <w:jc w:val="center"/>
        <w:textAlignment w:val="auto"/>
        <w:outlineLvl w:val="0"/>
        <w:rPr>
          <w:rFonts w:hint="eastAsia" w:ascii="黑体" w:hAnsi="黑体" w:eastAsia="黑体"/>
          <w:lang w:eastAsia="zh-CN"/>
        </w:rPr>
      </w:pPr>
      <w:r>
        <w:rPr>
          <w:rFonts w:hint="eastAsia" w:ascii="黑体" w:hAnsi="黑体" w:eastAsia="黑体"/>
          <w:lang w:eastAsia="zh-CN"/>
        </w:rPr>
        <w:t>湖南天堂山国家森林公园处理处</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right="0" w:rightChars="0" w:firstLine="0" w:firstLineChars="0"/>
        <w:jc w:val="center"/>
        <w:textAlignment w:val="auto"/>
        <w:outlineLvl w:val="0"/>
        <w:rPr>
          <w:rFonts w:asciiTheme="majorEastAsia" w:hAnsiTheme="majorEastAsia" w:eastAsiaTheme="majorEastAsia"/>
        </w:rPr>
      </w:pPr>
      <w:r>
        <w:rPr>
          <w:rFonts w:hint="eastAsia" w:ascii="黑体" w:hAnsi="黑体" w:eastAsia="黑体"/>
        </w:rPr>
        <w:t>预算支出绩效评价报告</w:t>
      </w:r>
    </w:p>
    <w:p>
      <w:pPr>
        <w:spacing w:line="560" w:lineRule="exact"/>
        <w:ind w:firstLine="640" w:firstLineChars="200"/>
        <w:rPr>
          <w:rFonts w:hint="eastAsia" w:ascii="仿宋" w:hAnsi="仿宋" w:eastAsia="仿宋"/>
          <w:sz w:val="32"/>
          <w:szCs w:val="32"/>
        </w:rPr>
      </w:pPr>
    </w:p>
    <w:p>
      <w:pPr>
        <w:ind w:firstLine="630"/>
        <w:rPr>
          <w:rFonts w:hint="eastAsia" w:ascii="仿宋" w:hAnsi="仿宋" w:eastAsia="仿宋" w:cs="仿宋"/>
          <w:sz w:val="30"/>
          <w:szCs w:val="30"/>
          <w:lang w:eastAsia="zh-CN"/>
        </w:rPr>
      </w:pPr>
      <w:r>
        <w:rPr>
          <w:rFonts w:hint="eastAsia" w:ascii="仿宋" w:hAnsi="仿宋" w:eastAsia="仿宋" w:cs="仿宋"/>
          <w:sz w:val="30"/>
          <w:szCs w:val="30"/>
        </w:rPr>
        <w:t>根据《湖南省预算绩效目标管理办法》（湘财绩〔2013〕29号）文件精神及常财绩〔2017〕81号关于项目支出和部门整体支出绩效评价的通知，为确保预算绩效管理的有效推进，提高预算编制的科学性和规范性，提高资金使用效益，</w:t>
      </w:r>
      <w:r>
        <w:rPr>
          <w:rFonts w:hint="eastAsia" w:ascii="仿宋" w:hAnsi="仿宋" w:eastAsia="仿宋" w:cs="仿宋"/>
          <w:sz w:val="30"/>
          <w:szCs w:val="30"/>
          <w:lang w:eastAsia="zh-CN"/>
        </w:rPr>
        <w:t>管理处</w:t>
      </w:r>
      <w:r>
        <w:rPr>
          <w:rFonts w:hint="eastAsia" w:ascii="仿宋" w:hAnsi="仿宋" w:eastAsia="仿宋" w:cs="仿宋"/>
          <w:sz w:val="30"/>
          <w:szCs w:val="30"/>
        </w:rPr>
        <w:t>领导高度重视，立即召开相关人员会议，积极组织开展绩效自评，现将自评结果汇报如下</w:t>
      </w:r>
      <w:r>
        <w:rPr>
          <w:rFonts w:hint="eastAsia" w:ascii="仿宋" w:hAnsi="仿宋" w:eastAsia="仿宋" w:cs="仿宋"/>
          <w:sz w:val="30"/>
          <w:szCs w:val="30"/>
          <w:lang w:eastAsia="zh-CN"/>
        </w:rPr>
        <w:t>：</w:t>
      </w:r>
    </w:p>
    <w:p>
      <w:pPr>
        <w:ind w:firstLine="630"/>
        <w:rPr>
          <w:rFonts w:hint="eastAsia" w:ascii="仿宋" w:hAnsi="仿宋" w:eastAsia="仿宋" w:cs="仿宋"/>
          <w:b/>
          <w:bCs/>
          <w:sz w:val="30"/>
          <w:szCs w:val="30"/>
        </w:rPr>
      </w:pPr>
      <w:r>
        <w:rPr>
          <w:rFonts w:hint="eastAsia" w:ascii="仿宋" w:hAnsi="仿宋" w:eastAsia="仿宋" w:cs="仿宋"/>
          <w:b/>
          <w:bCs/>
          <w:sz w:val="30"/>
          <w:szCs w:val="30"/>
        </w:rPr>
        <w:t>一、基本情况</w:t>
      </w:r>
    </w:p>
    <w:p>
      <w:pPr>
        <w:ind w:firstLine="630"/>
        <w:rPr>
          <w:rFonts w:hint="eastAsia" w:ascii="仿宋" w:hAnsi="仿宋" w:eastAsia="仿宋" w:cs="仿宋"/>
          <w:sz w:val="30"/>
          <w:szCs w:val="30"/>
        </w:rPr>
      </w:pPr>
      <w:r>
        <w:rPr>
          <w:rFonts w:hint="eastAsia" w:ascii="仿宋" w:hAnsi="仿宋" w:eastAsia="仿宋" w:cs="仿宋"/>
          <w:sz w:val="30"/>
          <w:szCs w:val="30"/>
        </w:rPr>
        <w:t>湖南天堂山国家森林公园管理处机关全额拨款事业编制40名，其中：主任1名（副处级），副主任3名（正科级），内设机构负责人4名（副科级），下设机构负责人正科级1名（弥泉林场场长），副科级5名（含弥泉林场副场长2名）</w:t>
      </w:r>
      <w:r>
        <w:rPr>
          <w:rFonts w:hint="eastAsia" w:ascii="仿宋" w:hAnsi="仿宋" w:eastAsia="仿宋" w:cs="仿宋"/>
          <w:sz w:val="30"/>
          <w:szCs w:val="30"/>
          <w:lang w:eastAsia="zh-CN"/>
        </w:rPr>
        <w:t>，目前到岗到位</w:t>
      </w:r>
      <w:r>
        <w:rPr>
          <w:rFonts w:hint="eastAsia" w:ascii="仿宋" w:hAnsi="仿宋" w:eastAsia="仿宋" w:cs="仿宋"/>
          <w:sz w:val="30"/>
          <w:szCs w:val="30"/>
          <w:lang w:val="en-US" w:eastAsia="zh-CN"/>
        </w:rPr>
        <w:t>27人，其中占用单位编制人员20人，林场及林业局等其他单位借调7人</w:t>
      </w:r>
      <w:r>
        <w:rPr>
          <w:rFonts w:hint="eastAsia" w:ascii="仿宋" w:hAnsi="仿宋" w:eastAsia="仿宋" w:cs="仿宋"/>
          <w:sz w:val="30"/>
          <w:szCs w:val="30"/>
        </w:rPr>
        <w:t>。</w:t>
      </w:r>
      <w:r>
        <w:rPr>
          <w:rFonts w:hint="eastAsia" w:ascii="仿宋" w:hAnsi="仿宋" w:eastAsia="仿宋" w:cs="仿宋"/>
          <w:sz w:val="30"/>
          <w:szCs w:val="30"/>
          <w:lang w:eastAsia="zh-CN"/>
        </w:rPr>
        <w:t>管理处内设机构包括综合科、经营管理科、资源保护科、资产管理科四个科室，下设机构包括九龙塔、铜钟岭、印山3个管理所和弥泉林场及印山天堂山西江风景名胜区管理办公室</w:t>
      </w:r>
      <w:r>
        <w:rPr>
          <w:rFonts w:hint="eastAsia" w:ascii="仿宋" w:hAnsi="仿宋" w:eastAsia="仿宋" w:cs="仿宋"/>
          <w:sz w:val="30"/>
          <w:szCs w:val="30"/>
        </w:rPr>
        <w:t>。</w:t>
      </w:r>
    </w:p>
    <w:p>
      <w:pPr>
        <w:numPr>
          <w:ilvl w:val="0"/>
          <w:numId w:val="0"/>
        </w:numPr>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二、项目概</w:t>
      </w:r>
      <w:r>
        <w:rPr>
          <w:rFonts w:hint="eastAsia" w:ascii="仿宋" w:hAnsi="仿宋" w:eastAsia="仿宋" w:cs="仿宋"/>
          <w:b/>
          <w:bCs/>
          <w:sz w:val="30"/>
          <w:szCs w:val="30"/>
        </w:rPr>
        <w:t>况</w:t>
      </w:r>
    </w:p>
    <w:p>
      <w:pPr>
        <w:ind w:firstLine="63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管理处2019年总收入为427.29万元，全部为财拨款。</w:t>
      </w:r>
    </w:p>
    <w:p>
      <w:pPr>
        <w:ind w:firstLine="63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（一）、财政拨款包括：</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1、行政运行经费273.82万元，其中：工资       。</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2、一般行政管理事务6.32万元，为单位乡镇工作补贴。</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3、动植物保护资金32万元，为预算安排从重点生态功能区资金中安排森林保护资金（野生动物、古树、古迹保护、病虫害防治、监测及除治）。</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4、林业质量安全资金32.41万元，为预算安排从重点生态功能区资金中安排森林旅游推广、安全与维护（森林旅游推广、安全与维护，智慧旅游及信息网络）资金。</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5、其他林业支出资金15.96万元，其中：森林资源清查资金8万元，单位公车改革车补资金7.96万元   。</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6、其他旅游业管理与服务支出资金60万元，为天堂山及盐茶古道修复资金。</w:t>
      </w:r>
      <w:bookmarkStart w:id="0" w:name="_GoBack"/>
      <w:bookmarkEnd w:id="0"/>
      <w:r>
        <w:rPr>
          <w:rFonts w:hint="eastAsia" w:ascii="仿宋" w:hAnsi="仿宋" w:eastAsia="仿宋" w:cs="仿宋"/>
          <w:b w:val="0"/>
          <w:bCs w:val="0"/>
          <w:sz w:val="30"/>
          <w:szCs w:val="30"/>
          <w:lang w:val="en-US" w:eastAsia="zh-CN"/>
        </w:rPr>
        <w:t xml:space="preserve">  </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7、财政安排住房公积金6.78万元。</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三、绩效目标</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通过项目实施，有效保护园区森林资源及风景资源，维护园区生态环境，并有保护的基础上，以增加旅游基础设施和配套设施为手段，采用扶持和发展园区合作社的林下经济，开展茶旅结合，试点森林人家、农家乐、生态休闲了旅游模式，合理开发利用森林资源，最终将园区建设成设施完善，功能齐全、特色鲜明的森林旅游特色示范区，创建为4A级旅游景区，打造成“春看杜鹃夏戏水，秋观银杏冬赏雪”的生态乐园。</w:t>
      </w:r>
    </w:p>
    <w:p>
      <w:pPr>
        <w:numPr>
          <w:ilvl w:val="0"/>
          <w:numId w:val="0"/>
        </w:numPr>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bCs/>
          <w:sz w:val="30"/>
          <w:szCs w:val="30"/>
          <w:lang w:val="en-US" w:eastAsia="zh-CN"/>
        </w:rPr>
        <w:t>四、绩效评价工作开展情况</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绩效评价目的：通过对部门和项目进行剖析，绩效就是评价收入产出比，按照企业的说法就是把每一分钱发挥到最大用处，通过评价，剔除无绩效的项目。我处2018年除人员经费处，所有项目资金全部用于园区相关项目建设，并取得了一定的成绩。</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绩效评价工作过程：</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1、前期准备：按照绩效评价工作的要求，管理处组织综合科及相关项目实施人员对绩效评价相关的国家法律法规进行系统性认真学习并掌握。</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2、组织实施：根据本单位职能和年初预算编制的绩效考核项目予以绩效评价。</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3、分析评价：根据本单位实际情况，进行汇总分析，校对评价指标进行评分。</w:t>
      </w:r>
    </w:p>
    <w:p>
      <w:pPr>
        <w:numPr>
          <w:ilvl w:val="0"/>
          <w:numId w:val="0"/>
        </w:numPr>
        <w:ind w:firstLine="6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五、主要绩效及评价结论</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管理处通过财政项目资金的实施，全面完成了单位工作年度绩效目标：一是通过项目实施将园区森林旅游基础设施建设得到改善，增加园区游客量，增加旅游收入。特别是以油茶旅游文化节会为契机，实施了天堂山游步道维修的相关标识标牌建设，完善了相关配套设施，完成天堂山和东盐茶古道共11.2公里游步道维修、34块4A标准标识标牌制作与安装、20套休息石椅及25个生态垃圾箱设施配置工程，让园区观花游客明显增加。二是通过林相改造，形成丰富的森林景观效果。通过补植补造景区娜塔栎、红稠、楠木，完成欧洲银行贷款湖南森林提质增效项目2746亩，森林质量精准提升造林1137亩，并通过验收，对园区2000为杉木林进行抚育，提升了园区整体森林质量，增强了林相景观效果。三是以旅游产业为龙头，带动园区农民致富。让我处扶贫联点村——双河村在今年正式脱贫摘帽。四是积极组织森林公园内森林资源调查，联系省林科院专家，对印山景区植物资源进行调查清理，制作植物标本，开展植物科普教育；五是组织开展森林生态旅游管理活动，特别是在观杜鹃花和油茶旅游文化节活动中，积极开展旅游安全维护值班和巡查，有效制止旅游期间游客乱采乱挖和乱丢垃圾等不文明现象；六是持续开展森林防火工作，全年森林防火期内，24小时安排森林防火值班巡逻，通过向省厅申请，在森林公园范围内建设森林防火直升机停机坪一处；七是有效开展林地整治活动，结合2019“绿盾”专项行动、，自然保护地内违建别墅清查活动，对园区内违规破坏自然保护地行动进行清理整治，同进开展保护野生动植物活动，组织放生野生动物，有效地维护了园区生物多样性和现有森林植被。</w:t>
      </w:r>
    </w:p>
    <w:p>
      <w:pPr>
        <w:numPr>
          <w:ilvl w:val="0"/>
          <w:numId w:val="0"/>
        </w:numPr>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bCs/>
          <w:sz w:val="30"/>
          <w:szCs w:val="30"/>
          <w:lang w:val="en-US" w:eastAsia="zh-CN"/>
        </w:rPr>
        <w:t xml:space="preserve"> 六、存在问题</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1、园区旅游基础设施仍然落后。森林公园的旅游开发还处于起步阶段，园区内旅游基础设施和旅游服务设施十分落后，政府投入力度不高，招商引资开发旅游难度大。</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2、公园管理有待进一步理顺。由于目前我市体制改革尚未完成，管理处与其他自然保护地关系没有完全界定，与相关乡镇及职能部门协调还不够顺畅，多头管理现象仍然十分严重。</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机关运行困难。一是机关一般工作人员还未全部到位，导致公园的规划和建设方面进展慢。二是管理处下属的三个管理所和风景办机构已成立，但无人员，相关职能履行难度大。三是单位建设项目支出较大，资金缺口大。</w:t>
      </w:r>
    </w:p>
    <w:p>
      <w:pPr>
        <w:numPr>
          <w:ilvl w:val="0"/>
          <w:numId w:val="0"/>
        </w:numPr>
        <w:ind w:firstLine="600"/>
        <w:rPr>
          <w:rFonts w:hint="eastAsia" w:ascii="仿宋" w:hAnsi="仿宋" w:eastAsia="仿宋" w:cs="仿宋"/>
          <w:b w:val="0"/>
          <w:bCs w:val="0"/>
          <w:sz w:val="30"/>
          <w:szCs w:val="30"/>
          <w:lang w:val="en-US" w:eastAsia="zh-CN"/>
        </w:rPr>
      </w:pPr>
    </w:p>
    <w:p>
      <w:pPr>
        <w:numPr>
          <w:ilvl w:val="0"/>
          <w:numId w:val="0"/>
        </w:numPr>
        <w:ind w:firstLine="600"/>
        <w:rPr>
          <w:rFonts w:hint="eastAsia" w:ascii="仿宋" w:hAnsi="仿宋" w:eastAsia="仿宋" w:cs="仿宋"/>
          <w:b w:val="0"/>
          <w:bCs w:val="0"/>
          <w:sz w:val="30"/>
          <w:szCs w:val="30"/>
          <w:lang w:val="en-US" w:eastAsia="zh-CN"/>
        </w:rPr>
      </w:pP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湖南天堂山国家森林公园管理处</w:t>
      </w:r>
    </w:p>
    <w:p>
      <w:pPr>
        <w:numPr>
          <w:ilvl w:val="0"/>
          <w:numId w:val="0"/>
        </w:numPr>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2020年9月26日</w:t>
      </w:r>
    </w:p>
    <w:p>
      <w:pPr>
        <w:ind w:firstLine="630"/>
        <w:rPr>
          <w:rFonts w:hint="eastAsia" w:ascii="仿宋" w:hAnsi="仿宋" w:eastAsia="仿宋" w:cs="仿宋"/>
          <w:sz w:val="30"/>
          <w:szCs w:val="30"/>
        </w:rPr>
      </w:pPr>
    </w:p>
    <w:p>
      <w:pPr>
        <w:ind w:firstLine="630"/>
        <w:rPr>
          <w:rFonts w:hint="eastAsia" w:ascii="仿宋" w:hAnsi="仿宋" w:eastAsia="仿宋" w:cs="仿宋"/>
          <w:sz w:val="30"/>
          <w:szCs w:val="3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B622A"/>
    <w:rsid w:val="0B552976"/>
    <w:rsid w:val="10345784"/>
    <w:rsid w:val="10DF0A40"/>
    <w:rsid w:val="11E86CF4"/>
    <w:rsid w:val="18407E76"/>
    <w:rsid w:val="1DC24DAA"/>
    <w:rsid w:val="32DB622A"/>
    <w:rsid w:val="789E3913"/>
    <w:rsid w:val="7A251476"/>
    <w:rsid w:val="7F2339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2019-07-25T07:11:00Z</dcterms:created>
  <dc:creator>Administrator</dc:creator>
  <cp:lastModifiedBy>Administrator</cp:lastModifiedBy>
  <dcterms:modified xsi:type="dcterms:W3CDTF">2020-09-27T07:42:36Z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2052-10.1.0.6104</vt:lpwstr>
  </property>
</Properties>
</file>