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2019年常宁市公安局部门整体支出绩效评价指标表</w:t>
      </w:r>
    </w:p>
    <w:tbl>
      <w:tblPr>
        <w:tblStyle w:val="7"/>
        <w:tblpPr w:leftFromText="180" w:rightFromText="180" w:vertAnchor="text" w:horzAnchor="page" w:tblpX="1772" w:tblpY="398"/>
        <w:tblOverlap w:val="never"/>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10"/>
        <w:gridCol w:w="2169"/>
        <w:gridCol w:w="645"/>
        <w:gridCol w:w="4860"/>
        <w:gridCol w:w="304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一级指标</w:t>
            </w:r>
          </w:p>
        </w:tc>
        <w:tc>
          <w:tcPr>
            <w:tcW w:w="121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二级指标</w:t>
            </w:r>
          </w:p>
        </w:tc>
        <w:tc>
          <w:tcPr>
            <w:tcW w:w="2169"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三级指标</w:t>
            </w:r>
          </w:p>
        </w:tc>
        <w:tc>
          <w:tcPr>
            <w:tcW w:w="64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分值</w:t>
            </w:r>
          </w:p>
        </w:tc>
        <w:tc>
          <w:tcPr>
            <w:tcW w:w="486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评价标准</w:t>
            </w:r>
          </w:p>
        </w:tc>
        <w:tc>
          <w:tcPr>
            <w:tcW w:w="304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指标说明</w:t>
            </w:r>
          </w:p>
        </w:tc>
        <w:tc>
          <w:tcPr>
            <w:tcW w:w="638"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投入</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预算配置</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在职人员控制率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eastAsia="zh-CN"/>
              </w:rPr>
            </w:pPr>
            <w:r>
              <w:rPr>
                <w:rFonts w:hint="eastAsia"/>
                <w:sz w:val="18"/>
                <w:szCs w:val="18"/>
                <w:vertAlign w:val="baseline"/>
                <w:lang w:eastAsia="zh-CN"/>
              </w:rPr>
              <w:t>以</w:t>
            </w:r>
            <w:r>
              <w:rPr>
                <w:rFonts w:hint="eastAsia"/>
                <w:sz w:val="18"/>
                <w:szCs w:val="18"/>
                <w:vertAlign w:val="baseline"/>
                <w:lang w:val="en-US" w:eastAsia="zh-CN"/>
              </w:rPr>
              <w:t>100%为标准，在职人员控制</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100%计5分，每超过一个百分点扣0.5分，扣完为止。</w:t>
            </w:r>
          </w:p>
        </w:tc>
        <w:tc>
          <w:tcPr>
            <w:tcW w:w="3040" w:type="dxa"/>
          </w:tcPr>
          <w:p>
            <w:pPr>
              <w:jc w:val="both"/>
              <w:rPr>
                <w:rFonts w:hint="eastAsia"/>
                <w:sz w:val="18"/>
                <w:szCs w:val="18"/>
                <w:vertAlign w:val="baseline"/>
                <w:lang w:eastAsia="zh-CN"/>
              </w:rPr>
            </w:pPr>
            <w:r>
              <w:rPr>
                <w:rFonts w:hint="eastAsia"/>
                <w:sz w:val="18"/>
                <w:szCs w:val="18"/>
                <w:vertAlign w:val="baseline"/>
                <w:lang w:eastAsia="zh-CN"/>
              </w:rPr>
              <w:t>在职人员控制率</w:t>
            </w:r>
            <w:r>
              <w:rPr>
                <w:rFonts w:hint="eastAsia"/>
                <w:sz w:val="18"/>
                <w:szCs w:val="18"/>
                <w:vertAlign w:val="baseline"/>
                <w:lang w:val="en-US" w:eastAsia="zh-CN"/>
              </w:rPr>
              <w:t>=（440/440）</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100%，计6分，每超过一个百分点扣1分，扣完为止。</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eastAsia="zh-CN"/>
              </w:rPr>
              <w:t>“三公经费”控制率</w:t>
            </w:r>
            <w:r>
              <w:rPr>
                <w:rFonts w:hint="eastAsia"/>
                <w:sz w:val="18"/>
                <w:szCs w:val="18"/>
                <w:vertAlign w:val="baseline"/>
                <w:lang w:val="en-US" w:eastAsia="zh-CN"/>
              </w:rPr>
              <w:t>=（</w:t>
            </w:r>
            <w:r>
              <w:rPr>
                <w:rFonts w:hint="eastAsia"/>
                <w:sz w:val="18"/>
                <w:szCs w:val="18"/>
                <w:vertAlign w:val="baseline"/>
                <w:lang w:eastAsia="zh-CN"/>
              </w:rPr>
              <w:t>18.83</w:t>
            </w:r>
            <w:r>
              <w:rPr>
                <w:rFonts w:hint="eastAsia"/>
                <w:sz w:val="18"/>
                <w:szCs w:val="18"/>
                <w:vertAlign w:val="baseline"/>
                <w:lang w:val="en-US" w:eastAsia="zh-CN"/>
              </w:rPr>
              <w:t>/70.00）</w:t>
            </w:r>
            <w:r>
              <w:rPr>
                <w:rFonts w:hint="default"/>
                <w:sz w:val="18"/>
                <w:szCs w:val="18"/>
                <w:vertAlign w:val="baseline"/>
                <w:lang w:val="en-US" w:eastAsia="zh-CN"/>
              </w:rPr>
              <w:t>×</w:t>
            </w:r>
            <w:r>
              <w:rPr>
                <w:rFonts w:hint="eastAsia"/>
                <w:sz w:val="18"/>
                <w:szCs w:val="18"/>
                <w:vertAlign w:val="baseline"/>
                <w:lang w:val="en-US" w:eastAsia="zh-CN"/>
              </w:rPr>
              <w:t>100%=26.90%</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机构设置完成情况</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机构设置符合上级要求得</w:t>
            </w:r>
            <w:r>
              <w:rPr>
                <w:rFonts w:hint="eastAsia"/>
                <w:sz w:val="18"/>
                <w:szCs w:val="18"/>
                <w:vertAlign w:val="baseline"/>
                <w:lang w:val="en-US" w:eastAsia="zh-CN"/>
              </w:rPr>
              <w:t>4分，机构完成设置得3分</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要求设</w:t>
            </w:r>
            <w:r>
              <w:rPr>
                <w:rFonts w:hint="eastAsia"/>
                <w:sz w:val="18"/>
                <w:szCs w:val="18"/>
                <w:vertAlign w:val="baseline"/>
                <w:lang w:val="en-US" w:eastAsia="zh-CN"/>
              </w:rPr>
              <w:t>42个机构，完成42个</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过程</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56分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预算执行</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20分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预算完成率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100%计满分，每低于5%扣2分，扣完为止。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val="en-US" w:eastAsia="zh-CN"/>
              </w:rPr>
              <w:t>预算完成率（</w:t>
            </w:r>
            <w:r>
              <w:rPr>
                <w:rFonts w:hint="eastAsia"/>
                <w:sz w:val="18"/>
                <w:szCs w:val="18"/>
                <w:vertAlign w:val="baseline"/>
                <w:lang w:eastAsia="zh-CN"/>
              </w:rPr>
              <w:t>14</w:t>
            </w:r>
            <w:r>
              <w:rPr>
                <w:rFonts w:hint="eastAsia"/>
                <w:sz w:val="18"/>
                <w:szCs w:val="18"/>
                <w:vertAlign w:val="baseline"/>
                <w:lang w:val="en-US" w:eastAsia="zh-CN"/>
              </w:rPr>
              <w:t>,</w:t>
            </w:r>
            <w:r>
              <w:rPr>
                <w:rFonts w:hint="eastAsia"/>
                <w:sz w:val="18"/>
                <w:szCs w:val="18"/>
                <w:vertAlign w:val="baseline"/>
                <w:lang w:eastAsia="zh-CN"/>
              </w:rPr>
              <w:t>669.6</w:t>
            </w:r>
            <w:r>
              <w:rPr>
                <w:rFonts w:hint="eastAsia"/>
                <w:sz w:val="18"/>
                <w:szCs w:val="18"/>
                <w:vertAlign w:val="baseline"/>
                <w:lang w:val="en-US" w:eastAsia="zh-CN"/>
              </w:rPr>
              <w:t>0/</w:t>
            </w:r>
            <w:r>
              <w:rPr>
                <w:rFonts w:hint="eastAsia"/>
                <w:sz w:val="18"/>
                <w:szCs w:val="18"/>
                <w:vertAlign w:val="baseline"/>
                <w:lang w:eastAsia="zh-CN"/>
              </w:rPr>
              <w:t>14</w:t>
            </w:r>
            <w:r>
              <w:rPr>
                <w:rFonts w:hint="eastAsia"/>
                <w:sz w:val="18"/>
                <w:szCs w:val="18"/>
                <w:vertAlign w:val="baseline"/>
                <w:lang w:val="en-US" w:eastAsia="zh-CN"/>
              </w:rPr>
              <w:t>,</w:t>
            </w:r>
            <w:r>
              <w:rPr>
                <w:rFonts w:hint="eastAsia"/>
                <w:sz w:val="18"/>
                <w:szCs w:val="18"/>
                <w:vertAlign w:val="baseline"/>
                <w:lang w:eastAsia="zh-CN"/>
              </w:rPr>
              <w:t>720.39</w:t>
            </w:r>
            <w:r>
              <w:rPr>
                <w:rFonts w:hint="eastAsia"/>
                <w:sz w:val="18"/>
                <w:szCs w:val="18"/>
                <w:vertAlign w:val="baseline"/>
                <w:lang w:val="en-US" w:eastAsia="zh-CN"/>
              </w:rPr>
              <w:t>）</w:t>
            </w:r>
            <w:r>
              <w:rPr>
                <w:rFonts w:hint="default"/>
                <w:sz w:val="18"/>
                <w:szCs w:val="18"/>
                <w:vertAlign w:val="baseline"/>
                <w:lang w:val="en-US" w:eastAsia="zh-CN"/>
              </w:rPr>
              <w:t>×100%=</w:t>
            </w:r>
            <w:r>
              <w:rPr>
                <w:rFonts w:hint="eastAsia"/>
                <w:sz w:val="18"/>
                <w:szCs w:val="18"/>
                <w:vertAlign w:val="baseline"/>
                <w:lang w:val="en-US" w:eastAsia="zh-CN"/>
              </w:rPr>
              <w:t>99.65</w:t>
            </w:r>
            <w:r>
              <w:rPr>
                <w:rFonts w:hint="default"/>
                <w:sz w:val="18"/>
                <w:szCs w:val="18"/>
                <w:vertAlign w:val="baseline"/>
                <w:lang w:val="en-US" w:eastAsia="zh-CN"/>
              </w:rPr>
              <w:t>%</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0计5分，0-10%计4分，10-20%计3分，20-30%计2分，大于30%不得分。</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eastAsia="zh-CN"/>
              </w:rPr>
              <w:t>预算控</w:t>
            </w:r>
            <w:r>
              <w:rPr>
                <w:rFonts w:hint="eastAsia"/>
                <w:sz w:val="18"/>
                <w:szCs w:val="18"/>
                <w:vertAlign w:val="baseline"/>
                <w:lang w:val="en-US" w:eastAsia="zh-CN"/>
              </w:rPr>
              <w:t>制率（446.09/8,355.31）=5.33%</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新建楼堂馆所面积控制率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100%以下（含）计满分，每超出5%扣2分，扣完为止。没有楼堂馆所项目计满分。</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eastAsia="zh-CN"/>
              </w:rPr>
              <w:t>新建楼堂馆所</w:t>
            </w:r>
            <w:r>
              <w:rPr>
                <w:rFonts w:hint="eastAsia"/>
                <w:sz w:val="18"/>
                <w:szCs w:val="18"/>
                <w:vertAlign w:val="baseline"/>
                <w:lang w:val="en-US" w:eastAsia="zh-CN"/>
              </w:rPr>
              <w:t>不超出，未完工</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新建楼堂馆所投资概算控制率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val="en-US" w:eastAsia="zh-CN"/>
              </w:rPr>
              <w:t>100%以下（含）计满分，每超出5%扣2分，扣完为止。没有楼堂馆所项目计满分。</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eastAsia="zh-CN"/>
              </w:rPr>
              <w:t>新建</w:t>
            </w:r>
            <w:r>
              <w:rPr>
                <w:rFonts w:hint="eastAsia"/>
                <w:sz w:val="18"/>
                <w:szCs w:val="18"/>
                <w:vertAlign w:val="baseline"/>
                <w:lang w:val="en-US" w:eastAsia="zh-CN"/>
              </w:rPr>
              <w:t>戒毒所不超出，未完工</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eastAsiaTheme="minorEastAsia"/>
                <w:sz w:val="18"/>
                <w:szCs w:val="18"/>
                <w:vertAlign w:val="baseline"/>
                <w:lang w:val="en-US" w:eastAsia="zh-CN"/>
              </w:rPr>
            </w:pPr>
            <w:r>
              <w:rPr>
                <w:rFonts w:hint="eastAsia"/>
                <w:sz w:val="18"/>
                <w:szCs w:val="18"/>
                <w:vertAlign w:val="baseline"/>
                <w:lang w:eastAsia="zh-CN"/>
              </w:rPr>
              <w:t>预算管理</w:t>
            </w:r>
            <w:r>
              <w:rPr>
                <w:rFonts w:hint="eastAsia"/>
                <w:sz w:val="18"/>
                <w:szCs w:val="18"/>
                <w:vertAlign w:val="baseline"/>
                <w:lang w:val="en-US" w:eastAsia="zh-CN"/>
              </w:rPr>
              <w:t>(36分）</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r>
              <w:rPr>
                <w:rFonts w:hint="eastAsia"/>
                <w:sz w:val="18"/>
                <w:szCs w:val="18"/>
                <w:vertAlign w:val="baseline"/>
                <w:lang w:val="en-US" w:eastAsia="zh-CN"/>
              </w:rPr>
              <w:t>=7073.12/6094.17=116%</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r>
              <w:rPr>
                <w:rFonts w:hint="eastAsia"/>
                <w:sz w:val="18"/>
                <w:szCs w:val="18"/>
                <w:vertAlign w:val="baseline"/>
                <w:lang w:val="en-US" w:eastAsia="zh-CN"/>
              </w:rPr>
              <w:t>766.88/1299.74=59%</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政府采购执行率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100%计满分，每超过（降低）5%扣2分，扣完为止。</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100%执行</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管理制度健全性</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4860" w:type="dxa"/>
            <w:vAlign w:val="center"/>
          </w:tcPr>
          <w:p>
            <w:pPr>
              <w:jc w:val="both"/>
              <w:rPr>
                <w:rFonts w:hint="eastAsia" w:asciiTheme="minorEastAsia" w:hAnsiTheme="minorEastAsia" w:cstheme="minor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有内部财务管理制度、会计核算制度等管理制度，2分</w:t>
            </w:r>
            <w:r>
              <w:rPr>
                <w:rFonts w:hint="default" w:ascii="Calibri" w:hAnsi="Calibri" w:cs="Calibri"/>
                <w:sz w:val="18"/>
                <w:szCs w:val="18"/>
                <w:vertAlign w:val="baseline"/>
                <w:lang w:val="en-US" w:eastAsia="zh-CN"/>
              </w:rPr>
              <w:t>②</w:t>
            </w:r>
            <w:r>
              <w:rPr>
                <w:rFonts w:hint="eastAsia" w:asciiTheme="minorEastAsia" w:hAnsiTheme="minorEastAsia" w:cstheme="minorEastAsia"/>
                <w:sz w:val="18"/>
                <w:szCs w:val="18"/>
                <w:vertAlign w:val="baseline"/>
                <w:lang w:val="en-US" w:eastAsia="zh-CN"/>
              </w:rPr>
              <w:t>有本部门厉行节约制度，2分</w:t>
            </w:r>
            <w:r>
              <w:rPr>
                <w:rFonts w:hint="default" w:ascii="Calibri" w:hAnsi="Calibri" w:cs="Calibri"/>
                <w:sz w:val="18"/>
                <w:szCs w:val="18"/>
                <w:vertAlign w:val="baseline"/>
                <w:lang w:val="en-US" w:eastAsia="zh-CN"/>
              </w:rPr>
              <w:t>③</w:t>
            </w:r>
            <w:r>
              <w:rPr>
                <w:rFonts w:hint="eastAsia" w:asciiTheme="minorEastAsia" w:hAnsiTheme="minorEastAsia" w:cstheme="minorEastAsia"/>
                <w:sz w:val="18"/>
                <w:szCs w:val="18"/>
                <w:vertAlign w:val="baseline"/>
                <w:lang w:val="en-US" w:eastAsia="zh-CN"/>
              </w:rPr>
              <w:t>相关管理制度合法、合规、完整，2分</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相关管理制度得到有效执行，2分</w:t>
            </w:r>
          </w:p>
        </w:tc>
        <w:tc>
          <w:tcPr>
            <w:tcW w:w="3040" w:type="dxa"/>
            <w:vAlign w:val="center"/>
          </w:tcPr>
          <w:p>
            <w:pPr>
              <w:jc w:val="both"/>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有财务管理、厉行节约等管理制度，但相关管理制度未完全执行</w:t>
            </w:r>
          </w:p>
          <w:p>
            <w:pPr>
              <w:jc w:val="both"/>
              <w:rPr>
                <w:rFonts w:hint="eastAsia"/>
                <w:sz w:val="18"/>
                <w:szCs w:val="18"/>
                <w:vertAlign w:val="baseline"/>
                <w:lang w:eastAsia="zh-CN"/>
              </w:rPr>
            </w:pP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资金使用合规性</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支出符合国家财政法规和财务管理制度规定以及有关专项资金管理办法的规定。</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2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②</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资金拨付有完整的审批程序和手续。</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3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③</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项目支出按规定经过评估论证。</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支出符合部门预算批复的用途。</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5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⑤</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资金使用无截留、挤占、挪用、虚列支出等情况。以上情况每出现一例不符合要求的扣1分，扣完为止。</w:t>
            </w:r>
          </w:p>
        </w:tc>
        <w:tc>
          <w:tcPr>
            <w:tcW w:w="3040" w:type="dxa"/>
          </w:tcPr>
          <w:p>
            <w:pPr>
              <w:jc w:val="both"/>
              <w:rPr>
                <w:rFonts w:hint="default"/>
                <w:sz w:val="18"/>
                <w:szCs w:val="18"/>
                <w:vertAlign w:val="baseline"/>
                <w:lang w:val="en-US" w:eastAsia="zh-CN"/>
              </w:rPr>
            </w:pPr>
            <w:r>
              <w:rPr>
                <w:rFonts w:hint="eastAsia" w:asciiTheme="minorEastAsia" w:hAnsiTheme="minorEastAsia" w:cstheme="minorEastAsia"/>
                <w:sz w:val="18"/>
                <w:szCs w:val="18"/>
                <w:vertAlign w:val="baseline"/>
                <w:lang w:val="en-US" w:eastAsia="zh-CN"/>
              </w:rPr>
              <w:t>存在二级机构的部分服务和购货款项未直付而是拨付给报账员再由报账员支付、车辆维修未集中定点维修等问题</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预决算信息公开性</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val="en-US" w:eastAsia="zh-CN"/>
              </w:rPr>
            </w:pP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1 \* GB3 \* MERGEFORMAT </w:instrText>
            </w:r>
            <w:r>
              <w:rPr>
                <w:rFonts w:hint="eastAsia"/>
                <w:sz w:val="18"/>
                <w:szCs w:val="18"/>
                <w:vertAlign w:val="baseline"/>
                <w:lang w:val="en-US" w:eastAsia="zh-CN"/>
              </w:rPr>
              <w:fldChar w:fldCharType="separate"/>
            </w:r>
            <w:r>
              <w:rPr>
                <w:sz w:val="18"/>
                <w:szCs w:val="18"/>
              </w:rPr>
              <w:t>①</w:t>
            </w:r>
            <w:r>
              <w:rPr>
                <w:rFonts w:hint="eastAsia"/>
                <w:sz w:val="18"/>
                <w:szCs w:val="18"/>
                <w:vertAlign w:val="baseline"/>
                <w:lang w:val="en-US" w:eastAsia="zh-CN"/>
              </w:rPr>
              <w:fldChar w:fldCharType="end"/>
            </w:r>
            <w:r>
              <w:rPr>
                <w:rFonts w:hint="eastAsia"/>
                <w:sz w:val="18"/>
                <w:szCs w:val="18"/>
                <w:vertAlign w:val="baseline"/>
                <w:lang w:val="en-US" w:eastAsia="zh-CN"/>
              </w:rPr>
              <w:t>按规定内容公开预决算信息，1分。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2 \* GB3 \* MERGEFORMAT </w:instrText>
            </w:r>
            <w:r>
              <w:rPr>
                <w:rFonts w:hint="eastAsia"/>
                <w:sz w:val="18"/>
                <w:szCs w:val="18"/>
                <w:vertAlign w:val="baseline"/>
                <w:lang w:val="en-US" w:eastAsia="zh-CN"/>
              </w:rPr>
              <w:fldChar w:fldCharType="separate"/>
            </w:r>
            <w:r>
              <w:rPr>
                <w:sz w:val="18"/>
                <w:szCs w:val="18"/>
              </w:rPr>
              <w:t>②</w:t>
            </w:r>
            <w:r>
              <w:rPr>
                <w:rFonts w:hint="eastAsia"/>
                <w:sz w:val="18"/>
                <w:szCs w:val="18"/>
                <w:vertAlign w:val="baseline"/>
                <w:lang w:val="en-US" w:eastAsia="zh-CN"/>
              </w:rPr>
              <w:fldChar w:fldCharType="end"/>
            </w:r>
            <w:r>
              <w:rPr>
                <w:rFonts w:hint="eastAsia"/>
                <w:sz w:val="18"/>
                <w:szCs w:val="18"/>
                <w:vertAlign w:val="baseline"/>
                <w:lang w:val="en-US" w:eastAsia="zh-CN"/>
              </w:rPr>
              <w:t>按规定时限公开预决算信息，1分。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3 \* GB3 \* MERGEFORMAT </w:instrText>
            </w:r>
            <w:r>
              <w:rPr>
                <w:rFonts w:hint="eastAsia"/>
                <w:sz w:val="18"/>
                <w:szCs w:val="18"/>
                <w:vertAlign w:val="baseline"/>
                <w:lang w:val="en-US" w:eastAsia="zh-CN"/>
              </w:rPr>
              <w:fldChar w:fldCharType="separate"/>
            </w:r>
            <w:r>
              <w:rPr>
                <w:sz w:val="18"/>
                <w:szCs w:val="18"/>
              </w:rPr>
              <w:t>③</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基础数据信息和会计信息资料真实，1分。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4 \* GB3 \* MERGEFORMAT </w:instrText>
            </w:r>
            <w:r>
              <w:rPr>
                <w:rFonts w:hint="eastAsia"/>
                <w:sz w:val="18"/>
                <w:szCs w:val="18"/>
                <w:vertAlign w:val="baseline"/>
                <w:lang w:val="en-US" w:eastAsia="zh-CN"/>
              </w:rPr>
              <w:fldChar w:fldCharType="separate"/>
            </w:r>
            <w:r>
              <w:rPr>
                <w:sz w:val="18"/>
                <w:szCs w:val="18"/>
              </w:rPr>
              <w:t>④</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基础数据信息和会计信息资料完整，1分。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5 \* GB3 \* MERGEFORMAT </w:instrText>
            </w:r>
            <w:r>
              <w:rPr>
                <w:rFonts w:hint="eastAsia"/>
                <w:sz w:val="18"/>
                <w:szCs w:val="18"/>
                <w:vertAlign w:val="baseline"/>
                <w:lang w:val="en-US" w:eastAsia="zh-CN"/>
              </w:rPr>
              <w:fldChar w:fldCharType="separate"/>
            </w:r>
            <w:r>
              <w:rPr>
                <w:sz w:val="18"/>
                <w:szCs w:val="18"/>
              </w:rPr>
              <w:t>⑤</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基础数据信息和汇集信息资料准确，1分。</w:t>
            </w:r>
          </w:p>
        </w:tc>
        <w:tc>
          <w:tcPr>
            <w:tcW w:w="3040" w:type="dxa"/>
          </w:tcPr>
          <w:p>
            <w:pPr>
              <w:jc w:val="both"/>
              <w:rPr>
                <w:rFonts w:hint="default"/>
                <w:sz w:val="18"/>
                <w:szCs w:val="18"/>
                <w:vertAlign w:val="baseline"/>
                <w:lang w:val="en-US" w:eastAsia="zh-CN"/>
              </w:rPr>
            </w:pPr>
            <w:r>
              <w:rPr>
                <w:rFonts w:hint="eastAsia"/>
                <w:sz w:val="18"/>
                <w:szCs w:val="18"/>
                <w:vertAlign w:val="baseline"/>
                <w:lang w:val="en-US" w:eastAsia="zh-CN"/>
              </w:rPr>
              <w:t>执行</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产出及效率</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26分</w:t>
            </w:r>
            <w:r>
              <w:rPr>
                <w:rFonts w:hint="eastAsia"/>
                <w:sz w:val="18"/>
                <w:szCs w:val="18"/>
                <w:vertAlign w:val="baseline"/>
                <w:lang w:eastAsia="zh-CN"/>
              </w:rPr>
              <w:t>）</w:t>
            </w:r>
          </w:p>
        </w:tc>
        <w:tc>
          <w:tcPr>
            <w:tcW w:w="121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职责履行</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（6分）</w:t>
            </w: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重点工作实际完成率</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tcPr>
          <w:p>
            <w:pPr>
              <w:jc w:val="both"/>
              <w:rPr>
                <w:rFonts w:hint="eastAsia"/>
                <w:sz w:val="18"/>
                <w:szCs w:val="18"/>
                <w:vertAlign w:val="baseline"/>
                <w:lang w:val="en-US" w:eastAsia="zh-CN"/>
              </w:rPr>
            </w:pPr>
            <w:r>
              <w:rPr>
                <w:rFonts w:hint="eastAsia"/>
                <w:sz w:val="18"/>
                <w:szCs w:val="18"/>
                <w:vertAlign w:val="baseline"/>
                <w:lang w:val="en-US" w:eastAsia="zh-CN"/>
              </w:rPr>
              <w:t>根据2018年部门重点工程与重点工作完成情况打分。该项得分=（实际重点工程量与重点工作完成量与完成数）得满分。</w:t>
            </w:r>
          </w:p>
        </w:tc>
        <w:tc>
          <w:tcPr>
            <w:tcW w:w="3040" w:type="dxa"/>
          </w:tcPr>
          <w:p>
            <w:pPr>
              <w:jc w:val="both"/>
              <w:rPr>
                <w:rFonts w:hint="eastAsia"/>
                <w:sz w:val="18"/>
                <w:szCs w:val="18"/>
                <w:vertAlign w:val="baseline"/>
                <w:lang w:val="en-US" w:eastAsia="zh-CN"/>
              </w:rPr>
            </w:pPr>
            <w:r>
              <w:rPr>
                <w:rFonts w:hint="eastAsia"/>
                <w:sz w:val="18"/>
                <w:szCs w:val="18"/>
                <w:vertAlign w:val="baseline"/>
                <w:lang w:val="en-US" w:eastAsia="zh-CN"/>
              </w:rPr>
              <w:t>基本完成了各项工作目标和任务。</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vAlign w:val="center"/>
          </w:tcPr>
          <w:p>
            <w:pPr>
              <w:jc w:val="center"/>
              <w:rPr>
                <w:rFonts w:hint="eastAsia"/>
                <w:sz w:val="18"/>
                <w:szCs w:val="18"/>
                <w:vertAlign w:val="baseline"/>
                <w:lang w:eastAsia="zh-CN"/>
              </w:rPr>
            </w:pPr>
            <w:r>
              <w:rPr>
                <w:rFonts w:hint="eastAsia"/>
                <w:sz w:val="18"/>
                <w:szCs w:val="18"/>
                <w:vertAlign w:val="baseline"/>
                <w:lang w:eastAsia="zh-CN"/>
              </w:rPr>
              <w:t>履行效益（</w:t>
            </w:r>
            <w:r>
              <w:rPr>
                <w:rFonts w:hint="eastAsia"/>
                <w:sz w:val="18"/>
                <w:szCs w:val="18"/>
                <w:vertAlign w:val="baseline"/>
                <w:lang w:val="en-US" w:eastAsia="zh-CN"/>
              </w:rPr>
              <w:t>20分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社会效益</w:t>
            </w:r>
          </w:p>
        </w:tc>
        <w:tc>
          <w:tcPr>
            <w:tcW w:w="64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486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通过投入是否有效维护当地社会稳定，打击违法犯罪活动，样本量80%，得5分。</w:t>
            </w:r>
          </w:p>
        </w:tc>
        <w:tc>
          <w:tcPr>
            <w:tcW w:w="3040" w:type="dxa"/>
          </w:tcPr>
          <w:p>
            <w:pPr>
              <w:jc w:val="both"/>
              <w:rPr>
                <w:rFonts w:hint="eastAsia" w:eastAsia="宋体"/>
                <w:color w:val="auto"/>
                <w:sz w:val="18"/>
                <w:szCs w:val="18"/>
                <w:highlight w:val="none"/>
                <w:vertAlign w:val="baseline"/>
                <w:lang w:val="en-US" w:eastAsia="zh-CN"/>
              </w:rPr>
            </w:pPr>
            <w:r>
              <w:rPr>
                <w:rFonts w:hint="eastAsia"/>
                <w:color w:val="auto"/>
                <w:sz w:val="18"/>
                <w:szCs w:val="18"/>
                <w:highlight w:val="none"/>
                <w:vertAlign w:val="baseline"/>
                <w:lang w:val="en-US" w:eastAsia="zh-CN"/>
              </w:rPr>
              <w:t>维稳工作扎实有效，未出现一起较大影响的群众事件，侦破打击主业持续强能增效，2019年全市共破获各类刑事案件284起，刑拘513人、逮捕324人、移诉575人；抓获各类逃犯290人，全市4起命案全破。</w:t>
            </w:r>
          </w:p>
        </w:tc>
        <w:tc>
          <w:tcPr>
            <w:tcW w:w="638" w:type="dxa"/>
            <w:vAlign w:val="center"/>
          </w:tcPr>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行政效能</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通过经费的投入是否使镇各职能部门的服务更加科学、规范、有效，完善行政职能配置，正常运转，得5分。</w:t>
            </w:r>
          </w:p>
        </w:tc>
        <w:tc>
          <w:tcPr>
            <w:tcW w:w="304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本年全局行政运行平稳，各项工作职能有序开展，完成各项指标，党风政风持续好转。</w:t>
            </w:r>
          </w:p>
        </w:tc>
        <w:tc>
          <w:tcPr>
            <w:tcW w:w="638" w:type="dxa"/>
            <w:vAlign w:val="center"/>
          </w:tcPr>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社会公众或服务对象满意度</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90%（含）以上计6分，80%（含）~90%计4分，70%（含）~80%计2分，低于70%计0分。</w:t>
            </w:r>
          </w:p>
        </w:tc>
        <w:tc>
          <w:tcPr>
            <w:tcW w:w="3040"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服务对象满意度83%</w:t>
            </w:r>
          </w:p>
        </w:tc>
        <w:tc>
          <w:tcPr>
            <w:tcW w:w="638" w:type="dxa"/>
            <w:vAlign w:val="top"/>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2" w:type="dxa"/>
          </w:tcPr>
          <w:p>
            <w:pPr>
              <w:jc w:val="center"/>
              <w:rPr>
                <w:rFonts w:hint="eastAsia"/>
                <w:sz w:val="18"/>
                <w:szCs w:val="18"/>
                <w:vertAlign w:val="baseline"/>
                <w:lang w:eastAsia="zh-CN"/>
              </w:rPr>
            </w:pPr>
            <w:r>
              <w:rPr>
                <w:rFonts w:hint="eastAsia"/>
                <w:sz w:val="18"/>
                <w:szCs w:val="18"/>
                <w:vertAlign w:val="baseline"/>
                <w:lang w:eastAsia="zh-CN"/>
              </w:rPr>
              <w:t>总分</w:t>
            </w:r>
          </w:p>
        </w:tc>
        <w:tc>
          <w:tcPr>
            <w:tcW w:w="1210" w:type="dxa"/>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100</w:t>
            </w:r>
          </w:p>
        </w:tc>
        <w:tc>
          <w:tcPr>
            <w:tcW w:w="4860" w:type="dxa"/>
            <w:vAlign w:val="top"/>
          </w:tcPr>
          <w:p>
            <w:pPr>
              <w:jc w:val="both"/>
              <w:rPr>
                <w:rFonts w:hint="eastAsia"/>
                <w:sz w:val="18"/>
                <w:szCs w:val="18"/>
                <w:vertAlign w:val="baseline"/>
                <w:lang w:val="en-US" w:eastAsia="zh-CN"/>
              </w:rPr>
            </w:pPr>
          </w:p>
        </w:tc>
        <w:tc>
          <w:tcPr>
            <w:tcW w:w="3040" w:type="dxa"/>
            <w:vAlign w:val="top"/>
          </w:tcPr>
          <w:p>
            <w:pPr>
              <w:jc w:val="both"/>
              <w:rPr>
                <w:rFonts w:hint="eastAsia"/>
                <w:sz w:val="18"/>
                <w:szCs w:val="18"/>
                <w:vertAlign w:val="baseline"/>
                <w:lang w:val="en-US" w:eastAsia="zh-CN"/>
              </w:rPr>
            </w:pPr>
          </w:p>
        </w:tc>
        <w:tc>
          <w:tcPr>
            <w:tcW w:w="638" w:type="dxa"/>
            <w:vAlign w:val="top"/>
          </w:tcPr>
          <w:p>
            <w:pPr>
              <w:jc w:val="center"/>
              <w:rPr>
                <w:rFonts w:hint="default"/>
                <w:sz w:val="18"/>
                <w:szCs w:val="18"/>
                <w:vertAlign w:val="baseline"/>
                <w:lang w:val="en-US" w:eastAsia="zh-CN"/>
              </w:rPr>
            </w:pPr>
            <w:r>
              <w:rPr>
                <w:rFonts w:hint="eastAsia"/>
                <w:sz w:val="18"/>
                <w:szCs w:val="18"/>
                <w:vertAlign w:val="baseline"/>
                <w:lang w:val="en-US" w:eastAsia="zh-CN"/>
              </w:rPr>
              <w:t>86</w:t>
            </w:r>
          </w:p>
        </w:tc>
      </w:tr>
    </w:tbl>
    <w:p>
      <w:pPr>
        <w:rPr>
          <w:sz w:val="18"/>
          <w:szCs w:val="18"/>
        </w:rPr>
      </w:pPr>
    </w:p>
    <w:sectPr>
      <w:headerReference r:id="rId3" w:type="default"/>
      <w:footerReference r:id="rId4" w:type="default"/>
      <w:pgSz w:w="16838" w:h="11906" w:orient="landscape"/>
      <w:pgMar w:top="1440" w:right="1440" w:bottom="1440" w:left="1440" w:header="851" w:footer="992" w:gutter="0"/>
      <w:pgNumType w:start="17"/>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val="en-US" w:eastAsia="zh-CN"/>
      </w:rPr>
    </w:pPr>
    <w:r>
      <w:rPr>
        <w:rFonts w:hint="eastAsia"/>
        <w:lang w:val="en-US"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4E"/>
    <w:rsid w:val="0100348E"/>
    <w:rsid w:val="012B4489"/>
    <w:rsid w:val="08B864CC"/>
    <w:rsid w:val="08F97C16"/>
    <w:rsid w:val="0A771144"/>
    <w:rsid w:val="0B046653"/>
    <w:rsid w:val="0EED519E"/>
    <w:rsid w:val="15876AE8"/>
    <w:rsid w:val="190430DE"/>
    <w:rsid w:val="19C6341F"/>
    <w:rsid w:val="1B8678DF"/>
    <w:rsid w:val="1EA818E0"/>
    <w:rsid w:val="1FC360D2"/>
    <w:rsid w:val="20411B3A"/>
    <w:rsid w:val="20FE292E"/>
    <w:rsid w:val="256F7066"/>
    <w:rsid w:val="26CD3B56"/>
    <w:rsid w:val="2ABB7326"/>
    <w:rsid w:val="2D6A4CE9"/>
    <w:rsid w:val="2EBA391A"/>
    <w:rsid w:val="328636A2"/>
    <w:rsid w:val="33396354"/>
    <w:rsid w:val="34F82C59"/>
    <w:rsid w:val="36B34042"/>
    <w:rsid w:val="382E0C94"/>
    <w:rsid w:val="38EC3A41"/>
    <w:rsid w:val="3967078D"/>
    <w:rsid w:val="3AE8758E"/>
    <w:rsid w:val="406D3B0E"/>
    <w:rsid w:val="40BE644D"/>
    <w:rsid w:val="42035181"/>
    <w:rsid w:val="47762818"/>
    <w:rsid w:val="486838F1"/>
    <w:rsid w:val="4AE255CC"/>
    <w:rsid w:val="582560D7"/>
    <w:rsid w:val="5BEC3AFD"/>
    <w:rsid w:val="5DE4686F"/>
    <w:rsid w:val="5F417E9B"/>
    <w:rsid w:val="5F583E95"/>
    <w:rsid w:val="619C6C55"/>
    <w:rsid w:val="66332A30"/>
    <w:rsid w:val="676C5A4E"/>
    <w:rsid w:val="68EA2D5A"/>
    <w:rsid w:val="69882274"/>
    <w:rsid w:val="69A27529"/>
    <w:rsid w:val="6B2A2545"/>
    <w:rsid w:val="72655192"/>
    <w:rsid w:val="754D0BC0"/>
    <w:rsid w:val="7B3E766D"/>
    <w:rsid w:val="7D61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2018-01-11T10:26:00Z</dcterms:created>
  <dc:creator>Administrator</dc:creator>
  <cp:lastModifiedBy>袁会计</cp:lastModifiedBy>
  <cp:lastPrinted>2020-08-05T07:14:00Z</cp:lastPrinted>
  <dcterms:modified xsi:type="dcterms:W3CDTF">2020-11-10T09:12:13Z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