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2019年胜桥镇部门整体支出绩效评价指标表</w:t>
      </w:r>
    </w:p>
    <w:tbl>
      <w:tblPr>
        <w:tblStyle w:val="5"/>
        <w:tblpPr w:leftFromText="180" w:rightFromText="180" w:vertAnchor="text" w:horzAnchor="page" w:tblpX="1772" w:tblpY="398"/>
        <w:tblOverlap w:val="never"/>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10"/>
        <w:gridCol w:w="2169"/>
        <w:gridCol w:w="645"/>
        <w:gridCol w:w="4860"/>
        <w:gridCol w:w="304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2"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一级指标</w:t>
            </w:r>
          </w:p>
        </w:tc>
        <w:tc>
          <w:tcPr>
            <w:tcW w:w="121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二级指标</w:t>
            </w:r>
          </w:p>
        </w:tc>
        <w:tc>
          <w:tcPr>
            <w:tcW w:w="2169"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三级指标</w:t>
            </w:r>
          </w:p>
        </w:tc>
        <w:tc>
          <w:tcPr>
            <w:tcW w:w="645"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分值</w:t>
            </w:r>
          </w:p>
        </w:tc>
        <w:tc>
          <w:tcPr>
            <w:tcW w:w="486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评价标准</w:t>
            </w:r>
          </w:p>
        </w:tc>
        <w:tc>
          <w:tcPr>
            <w:tcW w:w="3040"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指标说明</w:t>
            </w:r>
          </w:p>
        </w:tc>
        <w:tc>
          <w:tcPr>
            <w:tcW w:w="638" w:type="dxa"/>
            <w:vAlign w:val="center"/>
          </w:tcPr>
          <w:p>
            <w:pPr>
              <w:jc w:val="center"/>
              <w:rPr>
                <w:rFonts w:hint="eastAsia" w:eastAsiaTheme="minorEastAsia"/>
                <w:sz w:val="18"/>
                <w:szCs w:val="18"/>
                <w:vertAlign w:val="baseline"/>
                <w:lang w:eastAsia="zh-CN"/>
              </w:rPr>
            </w:pPr>
            <w:r>
              <w:rPr>
                <w:rFonts w:hint="eastAsia"/>
                <w:sz w:val="18"/>
                <w:szCs w:val="1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投入</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预算配置</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18分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在职人员控制率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eastAsia="zh-CN"/>
              </w:rPr>
            </w:pPr>
            <w:r>
              <w:rPr>
                <w:rFonts w:hint="eastAsia"/>
                <w:sz w:val="18"/>
                <w:szCs w:val="18"/>
                <w:vertAlign w:val="baseline"/>
                <w:lang w:eastAsia="zh-CN"/>
              </w:rPr>
              <w:t>以</w:t>
            </w:r>
            <w:r>
              <w:rPr>
                <w:rFonts w:hint="eastAsia"/>
                <w:sz w:val="18"/>
                <w:szCs w:val="18"/>
                <w:vertAlign w:val="baseline"/>
                <w:lang w:val="en-US" w:eastAsia="zh-CN"/>
              </w:rPr>
              <w:t>100%为标准，在职人员控制</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100%计5分，每超过一个百分点扣0.5分，扣完为止。</w:t>
            </w:r>
          </w:p>
        </w:tc>
        <w:tc>
          <w:tcPr>
            <w:tcW w:w="3040" w:type="dxa"/>
          </w:tcPr>
          <w:p>
            <w:pPr>
              <w:jc w:val="both"/>
              <w:rPr>
                <w:rFonts w:hint="eastAsia"/>
                <w:sz w:val="18"/>
                <w:szCs w:val="18"/>
                <w:vertAlign w:val="baseline"/>
                <w:lang w:eastAsia="zh-CN"/>
              </w:rPr>
            </w:pPr>
            <w:r>
              <w:rPr>
                <w:rFonts w:hint="eastAsia"/>
                <w:sz w:val="18"/>
                <w:szCs w:val="18"/>
                <w:vertAlign w:val="baseline"/>
                <w:lang w:eastAsia="zh-CN"/>
              </w:rPr>
              <w:t>在职人员控制率</w:t>
            </w:r>
            <w:r>
              <w:rPr>
                <w:rFonts w:hint="eastAsia"/>
                <w:sz w:val="18"/>
                <w:szCs w:val="18"/>
                <w:vertAlign w:val="baseline"/>
                <w:lang w:val="en-US" w:eastAsia="zh-CN"/>
              </w:rPr>
              <w:t>=（37/37）</w:t>
            </w:r>
            <w:r>
              <w:rPr>
                <w:rFonts w:hint="default" w:ascii="Arial" w:hAnsi="Arial" w:cs="Arial"/>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“三公经费”控制率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100%，计6分，每超过一个百分点扣1分，扣完为止。</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eastAsia="zh-CN"/>
              </w:rPr>
              <w:t>“三公经费”控制率</w:t>
            </w:r>
            <w:r>
              <w:rPr>
                <w:rFonts w:hint="eastAsia"/>
                <w:sz w:val="18"/>
                <w:szCs w:val="18"/>
                <w:vertAlign w:val="baseline"/>
                <w:lang w:val="en-US" w:eastAsia="zh-CN"/>
              </w:rPr>
              <w:t>=（</w:t>
            </w:r>
            <w:r>
              <w:rPr>
                <w:rFonts w:hint="eastAsia" w:asciiTheme="minorEastAsia" w:hAnsiTheme="minorEastAsia" w:cstheme="minorEastAsia"/>
                <w:sz w:val="18"/>
                <w:szCs w:val="18"/>
                <w:vertAlign w:val="baseline"/>
                <w:lang w:val="en-US" w:eastAsia="zh-CN"/>
              </w:rPr>
              <w:t>15.24/27.4）</w:t>
            </w:r>
            <w:r>
              <w:rPr>
                <w:rFonts w:hint="default" w:asciiTheme="minorEastAsia" w:hAnsiTheme="minorEastAsia" w:cstheme="minorEastAsia"/>
                <w:sz w:val="18"/>
                <w:szCs w:val="18"/>
                <w:vertAlign w:val="baseline"/>
                <w:lang w:val="en-US" w:eastAsia="zh-CN"/>
              </w:rPr>
              <w:t>×</w:t>
            </w:r>
            <w:r>
              <w:rPr>
                <w:rFonts w:hint="eastAsia" w:asciiTheme="minorEastAsia" w:hAnsiTheme="minorEastAsia" w:cstheme="minorEastAsia"/>
                <w:sz w:val="18"/>
                <w:szCs w:val="18"/>
                <w:vertAlign w:val="baseline"/>
                <w:lang w:val="en-US" w:eastAsia="zh-CN"/>
              </w:rPr>
              <w:t>100%=56%</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机构设置完成情况</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7</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机构设置符合上级要求得</w:t>
            </w:r>
            <w:r>
              <w:rPr>
                <w:rFonts w:hint="eastAsia"/>
                <w:sz w:val="18"/>
                <w:szCs w:val="18"/>
                <w:vertAlign w:val="baseline"/>
                <w:lang w:val="en-US" w:eastAsia="zh-CN"/>
              </w:rPr>
              <w:t>4分，机构完成设置得3分</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要求设</w:t>
            </w:r>
            <w:r>
              <w:rPr>
                <w:rFonts w:hint="eastAsia"/>
                <w:sz w:val="18"/>
                <w:szCs w:val="18"/>
                <w:vertAlign w:val="baseline"/>
                <w:lang w:val="en-US" w:eastAsia="zh-CN"/>
              </w:rPr>
              <w:t>6个机构，完成6个</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过程</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56分</w:t>
            </w:r>
            <w:r>
              <w:rPr>
                <w:rFonts w:hint="eastAsia"/>
                <w:sz w:val="18"/>
                <w:szCs w:val="18"/>
                <w:vertAlign w:val="baseline"/>
                <w:lang w:eastAsia="zh-CN"/>
              </w:rPr>
              <w:t>）</w:t>
            </w: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预算执行</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20分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预算完成率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100%计满分，每低于5%扣2分，扣完为止。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val="en-US" w:eastAsia="zh-CN"/>
              </w:rPr>
              <w:t>预算完成率（1,534.87/1,534.87）</w:t>
            </w:r>
            <w:r>
              <w:rPr>
                <w:rFonts w:hint="default"/>
                <w:sz w:val="18"/>
                <w:szCs w:val="18"/>
                <w:vertAlign w:val="baseline"/>
                <w:lang w:val="en-US" w:eastAsia="zh-CN"/>
              </w:rPr>
              <w:t>×100%=</w:t>
            </w:r>
            <w:r>
              <w:rPr>
                <w:rFonts w:hint="eastAsia"/>
                <w:sz w:val="18"/>
                <w:szCs w:val="18"/>
                <w:vertAlign w:val="baseline"/>
                <w:lang w:val="en-US" w:eastAsia="zh-CN"/>
              </w:rPr>
              <w:t>100</w:t>
            </w:r>
            <w:r>
              <w:rPr>
                <w:rFonts w:hint="default"/>
                <w:sz w:val="18"/>
                <w:szCs w:val="18"/>
                <w:vertAlign w:val="baseline"/>
                <w:lang w:val="en-US" w:eastAsia="zh-CN"/>
              </w:rPr>
              <w:t>%</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eastAsia="zh-CN"/>
              </w:rPr>
              <w:t>预算控制率</w:t>
            </w:r>
            <w:r>
              <w:rPr>
                <w:rFonts w:hint="default" w:ascii="Arial" w:hAnsi="Arial" w:cs="Arial"/>
                <w:sz w:val="18"/>
                <w:szCs w:val="18"/>
                <w:vertAlign w:val="baseline"/>
                <w:lang w:eastAsia="zh-CN"/>
              </w:rPr>
              <w:t>≤</w:t>
            </w:r>
            <w:r>
              <w:rPr>
                <w:rFonts w:hint="eastAsia" w:asciiTheme="minorEastAsia" w:hAnsiTheme="minorEastAsia" w:cstheme="minorEastAsia"/>
                <w:sz w:val="18"/>
                <w:szCs w:val="18"/>
                <w:vertAlign w:val="baseline"/>
                <w:lang w:val="en-US" w:eastAsia="zh-CN"/>
              </w:rPr>
              <w:t>0计5分，0-10%计4分，10-20%计3分，20-30%计2分，大于30%不得分。</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预算控</w:t>
            </w:r>
            <w:r>
              <w:rPr>
                <w:rFonts w:hint="eastAsia"/>
                <w:sz w:val="18"/>
                <w:szCs w:val="18"/>
                <w:vertAlign w:val="baseline"/>
                <w:lang w:val="en-US" w:eastAsia="zh-CN"/>
              </w:rPr>
              <w:t>制率（0/419.70）=0</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新建楼堂馆所面积控制率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100%以下（含）计满分，每超出5%扣2分，扣完为止。没有楼堂馆所项目计满分。</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新建楼堂馆所投资概算控制率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center"/>
          </w:tcPr>
          <w:p>
            <w:pPr>
              <w:jc w:val="both"/>
              <w:rPr>
                <w:rFonts w:hint="eastAsia"/>
                <w:sz w:val="18"/>
                <w:szCs w:val="18"/>
                <w:vertAlign w:val="baseline"/>
                <w:lang w:eastAsia="zh-CN"/>
              </w:rPr>
            </w:pPr>
            <w:r>
              <w:rPr>
                <w:rFonts w:hint="eastAsia"/>
                <w:sz w:val="18"/>
                <w:szCs w:val="18"/>
                <w:vertAlign w:val="baseline"/>
                <w:lang w:val="en-US" w:eastAsia="zh-CN"/>
              </w:rPr>
              <w:t>100%以下（含）计满分，每超出5%扣2分，扣完为止。没有楼堂馆所项目计满分。</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无新建楼堂馆所</w:t>
            </w:r>
          </w:p>
        </w:tc>
        <w:tc>
          <w:tcPr>
            <w:tcW w:w="638" w:type="dxa"/>
            <w:vAlign w:val="center"/>
          </w:tcPr>
          <w:p>
            <w:pPr>
              <w:jc w:val="center"/>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eastAsiaTheme="minorEastAsia"/>
                <w:sz w:val="18"/>
                <w:szCs w:val="18"/>
                <w:vertAlign w:val="baseline"/>
                <w:lang w:val="en-US" w:eastAsia="zh-CN"/>
              </w:rPr>
            </w:pPr>
            <w:r>
              <w:rPr>
                <w:rFonts w:hint="eastAsia"/>
                <w:sz w:val="18"/>
                <w:szCs w:val="18"/>
                <w:vertAlign w:val="baseline"/>
                <w:lang w:eastAsia="zh-CN"/>
              </w:rPr>
              <w:t>预算管理</w:t>
            </w:r>
            <w:r>
              <w:rPr>
                <w:rFonts w:hint="eastAsia"/>
                <w:sz w:val="18"/>
                <w:szCs w:val="18"/>
                <w:vertAlign w:val="baseline"/>
                <w:lang w:val="en-US" w:eastAsia="zh-CN"/>
              </w:rPr>
              <w:t>(36分）</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人员经费控制率</w:t>
            </w:r>
            <w:r>
              <w:rPr>
                <w:rFonts w:hint="eastAsia"/>
                <w:sz w:val="18"/>
                <w:szCs w:val="18"/>
                <w:vertAlign w:val="baseline"/>
                <w:lang w:val="en-US" w:eastAsia="zh-CN"/>
              </w:rPr>
              <w:t>=312.50/342.38=92%</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100%以下（含）计满分，每超出10%扣1分，扣完为止。</w:t>
            </w:r>
          </w:p>
        </w:tc>
        <w:tc>
          <w:tcPr>
            <w:tcW w:w="3040" w:type="dxa"/>
            <w:vAlign w:val="center"/>
          </w:tcPr>
          <w:p>
            <w:pPr>
              <w:jc w:val="both"/>
              <w:rPr>
                <w:rFonts w:hint="eastAsia"/>
                <w:sz w:val="18"/>
                <w:szCs w:val="18"/>
                <w:vertAlign w:val="baseline"/>
                <w:lang w:eastAsia="zh-CN"/>
              </w:rPr>
            </w:pPr>
            <w:r>
              <w:rPr>
                <w:rFonts w:hint="eastAsia"/>
                <w:sz w:val="18"/>
                <w:szCs w:val="18"/>
                <w:vertAlign w:val="baseline"/>
                <w:lang w:eastAsia="zh-CN"/>
              </w:rPr>
              <w:t>公用经费控制率</w:t>
            </w:r>
            <w:r>
              <w:rPr>
                <w:rFonts w:hint="eastAsia"/>
                <w:sz w:val="18"/>
                <w:szCs w:val="18"/>
                <w:vertAlign w:val="baseline"/>
                <w:lang w:val="en-US" w:eastAsia="zh-CN"/>
              </w:rPr>
              <w:t>86.87/77.32=113%</w:t>
            </w: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政府采购执行率</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vAlign w:val="center"/>
          </w:tcPr>
          <w:p>
            <w:pPr>
              <w:jc w:val="both"/>
              <w:rPr>
                <w:rFonts w:hint="eastAsia"/>
                <w:sz w:val="18"/>
                <w:szCs w:val="18"/>
                <w:vertAlign w:val="baseline"/>
                <w:lang w:val="en-US" w:eastAsia="zh-CN"/>
              </w:rPr>
            </w:pPr>
            <w:r>
              <w:rPr>
                <w:rFonts w:hint="eastAsia"/>
                <w:sz w:val="18"/>
                <w:szCs w:val="18"/>
                <w:vertAlign w:val="baseline"/>
                <w:lang w:val="en-US" w:eastAsia="zh-CN"/>
              </w:rPr>
              <w:t>100%计满分，每超过（降低）5%扣2分，扣完为止。</w:t>
            </w:r>
          </w:p>
        </w:tc>
        <w:tc>
          <w:tcPr>
            <w:tcW w:w="3040" w:type="dxa"/>
            <w:vAlign w:val="center"/>
          </w:tcPr>
          <w:p>
            <w:pPr>
              <w:jc w:val="both"/>
              <w:rPr>
                <w:rFonts w:hint="default"/>
                <w:sz w:val="18"/>
                <w:szCs w:val="18"/>
                <w:vertAlign w:val="baseline"/>
                <w:lang w:val="en-US" w:eastAsia="zh-CN"/>
              </w:rPr>
            </w:pPr>
            <w:r>
              <w:rPr>
                <w:rFonts w:hint="eastAsia"/>
                <w:sz w:val="18"/>
                <w:szCs w:val="18"/>
                <w:vertAlign w:val="baseline"/>
                <w:lang w:val="en-US" w:eastAsia="zh-CN"/>
              </w:rPr>
              <w:t>100%执行</w:t>
            </w:r>
          </w:p>
        </w:tc>
        <w:tc>
          <w:tcPr>
            <w:tcW w:w="638"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管理制度健全性</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8</w:t>
            </w:r>
          </w:p>
        </w:tc>
        <w:tc>
          <w:tcPr>
            <w:tcW w:w="4860" w:type="dxa"/>
            <w:vAlign w:val="center"/>
          </w:tcPr>
          <w:p>
            <w:pPr>
              <w:jc w:val="both"/>
              <w:rPr>
                <w:rFonts w:hint="eastAsia" w:asciiTheme="minorEastAsia" w:hAnsiTheme="minorEastAsia" w:cstheme="minor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有内部财务管理制度、会计核算制度等管理制度，2分</w:t>
            </w:r>
            <w:r>
              <w:rPr>
                <w:rFonts w:hint="default" w:ascii="Calibri" w:hAnsi="Calibri" w:cs="Calibri"/>
                <w:sz w:val="18"/>
                <w:szCs w:val="18"/>
                <w:vertAlign w:val="baseline"/>
                <w:lang w:val="en-US" w:eastAsia="zh-CN"/>
              </w:rPr>
              <w:t>②</w:t>
            </w:r>
            <w:r>
              <w:rPr>
                <w:rFonts w:hint="eastAsia" w:asciiTheme="minorEastAsia" w:hAnsiTheme="minorEastAsia" w:cstheme="minorEastAsia"/>
                <w:sz w:val="18"/>
                <w:szCs w:val="18"/>
                <w:vertAlign w:val="baseline"/>
                <w:lang w:val="en-US" w:eastAsia="zh-CN"/>
              </w:rPr>
              <w:t>有本部门厉行节约制度，2分</w:t>
            </w:r>
            <w:r>
              <w:rPr>
                <w:rFonts w:hint="default" w:ascii="Calibri" w:hAnsi="Calibri" w:cs="Calibri"/>
                <w:sz w:val="18"/>
                <w:szCs w:val="18"/>
                <w:vertAlign w:val="baseline"/>
                <w:lang w:val="en-US" w:eastAsia="zh-CN"/>
              </w:rPr>
              <w:t>③</w:t>
            </w:r>
            <w:r>
              <w:rPr>
                <w:rFonts w:hint="eastAsia" w:asciiTheme="minorEastAsia" w:hAnsiTheme="minorEastAsia" w:cstheme="minorEastAsia"/>
                <w:sz w:val="18"/>
                <w:szCs w:val="18"/>
                <w:vertAlign w:val="baseline"/>
                <w:lang w:val="en-US" w:eastAsia="zh-CN"/>
              </w:rPr>
              <w:t>相关管理制度合法、合规、完整，2分</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相关管理制度得到有效执行，2分</w:t>
            </w:r>
          </w:p>
        </w:tc>
        <w:tc>
          <w:tcPr>
            <w:tcW w:w="3040" w:type="dxa"/>
            <w:vAlign w:val="center"/>
          </w:tcPr>
          <w:p>
            <w:pPr>
              <w:jc w:val="both"/>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有财务管理、厉行节约等管理制度，但相关管理制度未完全执行</w:t>
            </w:r>
          </w:p>
          <w:p>
            <w:pPr>
              <w:jc w:val="both"/>
              <w:rPr>
                <w:rFonts w:hint="eastAsia"/>
                <w:sz w:val="18"/>
                <w:szCs w:val="18"/>
                <w:vertAlign w:val="baseline"/>
                <w:lang w:eastAsia="zh-CN"/>
              </w:rPr>
            </w:pPr>
          </w:p>
        </w:tc>
        <w:tc>
          <w:tcPr>
            <w:tcW w:w="63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资金使用合规性</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val="en-US" w:eastAsia="zh-CN"/>
              </w:rPr>
            </w:pPr>
            <w:r>
              <w:rPr>
                <w:rFonts w:hint="default" w:ascii="Calibri" w:hAnsi="Calibri" w:cs="Calibri"/>
                <w:sz w:val="18"/>
                <w:szCs w:val="18"/>
                <w:vertAlign w:val="baseline"/>
                <w:lang w:val="en-US" w:eastAsia="zh-CN"/>
              </w:rPr>
              <w:t>①</w:t>
            </w:r>
            <w:r>
              <w:rPr>
                <w:rFonts w:hint="eastAsia" w:asciiTheme="minorEastAsia" w:hAnsiTheme="minorEastAsia" w:cstheme="minorEastAsia"/>
                <w:sz w:val="18"/>
                <w:szCs w:val="18"/>
                <w:vertAlign w:val="baseline"/>
                <w:lang w:val="en-US" w:eastAsia="zh-CN"/>
              </w:rPr>
              <w:t>支出符合国家财政法规和财务管理制度规定以及有关专项资金管理办法的规定。</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2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②</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资金拨付有完整的审批程序和手续。</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3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③</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项目支出按规定经过评估论证。</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4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④</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支出符合部门预算批复的用途。</w:t>
            </w:r>
            <w:r>
              <w:rPr>
                <w:rFonts w:hint="eastAsia" w:asciiTheme="minorEastAsia" w:hAnsiTheme="minorEastAsia" w:cstheme="minorEastAsia"/>
                <w:sz w:val="18"/>
                <w:szCs w:val="18"/>
                <w:vertAlign w:val="baseline"/>
                <w:lang w:val="en-US" w:eastAsia="zh-CN"/>
              </w:rPr>
              <w:fldChar w:fldCharType="begin"/>
            </w:r>
            <w:r>
              <w:rPr>
                <w:rFonts w:hint="eastAsia" w:asciiTheme="minorEastAsia" w:hAnsiTheme="minorEastAsia" w:cstheme="minorEastAsia"/>
                <w:sz w:val="18"/>
                <w:szCs w:val="18"/>
                <w:vertAlign w:val="baseline"/>
                <w:lang w:val="en-US" w:eastAsia="zh-CN"/>
              </w:rPr>
              <w:instrText xml:space="preserve"> = 5 \* GB3 \* MERGEFORMAT </w:instrText>
            </w:r>
            <w:r>
              <w:rPr>
                <w:rFonts w:hint="eastAsia" w:asciiTheme="minorEastAsia" w:hAnsiTheme="minorEastAsia" w:cstheme="minorEastAsia"/>
                <w:sz w:val="18"/>
                <w:szCs w:val="18"/>
                <w:vertAlign w:val="baseline"/>
                <w:lang w:val="en-US" w:eastAsia="zh-CN"/>
              </w:rPr>
              <w:fldChar w:fldCharType="separate"/>
            </w:r>
            <w:r>
              <w:rPr>
                <w:sz w:val="18"/>
                <w:szCs w:val="18"/>
              </w:rPr>
              <w:t>⑤</w:t>
            </w:r>
            <w:r>
              <w:rPr>
                <w:rFonts w:hint="eastAsia" w:asciiTheme="minorEastAsia" w:hAnsiTheme="minorEastAsia" w:cstheme="minorEastAsia"/>
                <w:sz w:val="18"/>
                <w:szCs w:val="18"/>
                <w:vertAlign w:val="baseline"/>
                <w:lang w:val="en-US" w:eastAsia="zh-CN"/>
              </w:rPr>
              <w:fldChar w:fldCharType="end"/>
            </w:r>
            <w:r>
              <w:rPr>
                <w:rFonts w:hint="eastAsia" w:asciiTheme="minorEastAsia" w:hAnsiTheme="minorEastAsia" w:cstheme="minorEastAsia"/>
                <w:sz w:val="18"/>
                <w:szCs w:val="18"/>
                <w:vertAlign w:val="baseline"/>
                <w:lang w:val="en-US" w:eastAsia="zh-CN"/>
              </w:rPr>
              <w:t>资金使用无截留、挤占、挪用、虚列支出等情况。以上情况每出现一例不符合要求的扣1分，扣完为止。</w:t>
            </w:r>
          </w:p>
        </w:tc>
        <w:tc>
          <w:tcPr>
            <w:tcW w:w="3040" w:type="dxa"/>
          </w:tcPr>
          <w:p>
            <w:pPr>
              <w:jc w:val="both"/>
              <w:rPr>
                <w:rFonts w:hint="default"/>
                <w:sz w:val="18"/>
                <w:szCs w:val="18"/>
                <w:vertAlign w:val="baseline"/>
                <w:lang w:val="en-US" w:eastAsia="zh-CN"/>
              </w:rPr>
            </w:pPr>
            <w:r>
              <w:rPr>
                <w:rFonts w:hint="eastAsia" w:asciiTheme="minorEastAsia" w:hAnsiTheme="minorEastAsia" w:cstheme="minorEastAsia"/>
                <w:sz w:val="18"/>
                <w:szCs w:val="18"/>
                <w:vertAlign w:val="baseline"/>
                <w:lang w:val="en-US" w:eastAsia="zh-CN"/>
              </w:rPr>
              <w:t>镇、村两级项目资金存在未按项目核算，代管资金的借支款有待清理和催收，村级资金不分工程款和日常费用且不限金额直接拨付至村报账员个人账户</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预决算信息公开性</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val="en-US" w:eastAsia="zh-CN"/>
              </w:rPr>
            </w:pP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1 \* GB3 \* MERGEFORMAT </w:instrText>
            </w:r>
            <w:r>
              <w:rPr>
                <w:rFonts w:hint="eastAsia"/>
                <w:sz w:val="18"/>
                <w:szCs w:val="18"/>
                <w:vertAlign w:val="baseline"/>
                <w:lang w:val="en-US" w:eastAsia="zh-CN"/>
              </w:rPr>
              <w:fldChar w:fldCharType="separate"/>
            </w:r>
            <w:r>
              <w:rPr>
                <w:sz w:val="18"/>
                <w:szCs w:val="18"/>
              </w:rPr>
              <w:t>①</w:t>
            </w:r>
            <w:r>
              <w:rPr>
                <w:rFonts w:hint="eastAsia"/>
                <w:sz w:val="18"/>
                <w:szCs w:val="18"/>
                <w:vertAlign w:val="baseline"/>
                <w:lang w:val="en-US" w:eastAsia="zh-CN"/>
              </w:rPr>
              <w:fldChar w:fldCharType="end"/>
            </w:r>
            <w:r>
              <w:rPr>
                <w:rFonts w:hint="eastAsia"/>
                <w:sz w:val="18"/>
                <w:szCs w:val="18"/>
                <w:vertAlign w:val="baseline"/>
                <w:lang w:val="en-US" w:eastAsia="zh-CN"/>
              </w:rPr>
              <w:t>按规定内容公开预决算信息，1分。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2 \* GB3 \* MERGEFORMAT </w:instrText>
            </w:r>
            <w:r>
              <w:rPr>
                <w:rFonts w:hint="eastAsia"/>
                <w:sz w:val="18"/>
                <w:szCs w:val="18"/>
                <w:vertAlign w:val="baseline"/>
                <w:lang w:val="en-US" w:eastAsia="zh-CN"/>
              </w:rPr>
              <w:fldChar w:fldCharType="separate"/>
            </w:r>
            <w:r>
              <w:rPr>
                <w:sz w:val="18"/>
                <w:szCs w:val="18"/>
              </w:rPr>
              <w:t>②</w:t>
            </w:r>
            <w:r>
              <w:rPr>
                <w:rFonts w:hint="eastAsia"/>
                <w:sz w:val="18"/>
                <w:szCs w:val="18"/>
                <w:vertAlign w:val="baseline"/>
                <w:lang w:val="en-US" w:eastAsia="zh-CN"/>
              </w:rPr>
              <w:fldChar w:fldCharType="end"/>
            </w:r>
            <w:r>
              <w:rPr>
                <w:rFonts w:hint="eastAsia"/>
                <w:sz w:val="18"/>
                <w:szCs w:val="18"/>
                <w:vertAlign w:val="baseline"/>
                <w:lang w:val="en-US" w:eastAsia="zh-CN"/>
              </w:rPr>
              <w:t>按规定时限公开预决算信息，1分。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3 \* GB3 \* MERGEFORMAT </w:instrText>
            </w:r>
            <w:r>
              <w:rPr>
                <w:rFonts w:hint="eastAsia"/>
                <w:sz w:val="18"/>
                <w:szCs w:val="18"/>
                <w:vertAlign w:val="baseline"/>
                <w:lang w:val="en-US" w:eastAsia="zh-CN"/>
              </w:rPr>
              <w:fldChar w:fldCharType="separate"/>
            </w:r>
            <w:r>
              <w:rPr>
                <w:sz w:val="18"/>
                <w:szCs w:val="18"/>
              </w:rPr>
              <w:t>③</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基础数据信息和会计信息资料真实，1分。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4 \* GB3 \* MERGEFORMAT </w:instrText>
            </w:r>
            <w:r>
              <w:rPr>
                <w:rFonts w:hint="eastAsia"/>
                <w:sz w:val="18"/>
                <w:szCs w:val="18"/>
                <w:vertAlign w:val="baseline"/>
                <w:lang w:val="en-US" w:eastAsia="zh-CN"/>
              </w:rPr>
              <w:fldChar w:fldCharType="separate"/>
            </w:r>
            <w:r>
              <w:rPr>
                <w:sz w:val="18"/>
                <w:szCs w:val="18"/>
              </w:rPr>
              <w:t>④</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基础数据信息和会计信息资料完整，1分。</w:t>
            </w:r>
            <w:r>
              <w:rPr>
                <w:rFonts w:hint="eastAsia"/>
                <w:sz w:val="18"/>
                <w:szCs w:val="18"/>
                <w:vertAlign w:val="baseline"/>
                <w:lang w:val="en-US" w:eastAsia="zh-CN"/>
              </w:rPr>
              <w:fldChar w:fldCharType="begin"/>
            </w:r>
            <w:r>
              <w:rPr>
                <w:rFonts w:hint="eastAsia"/>
                <w:sz w:val="18"/>
                <w:szCs w:val="18"/>
                <w:vertAlign w:val="baseline"/>
                <w:lang w:val="en-US" w:eastAsia="zh-CN"/>
              </w:rPr>
              <w:instrText xml:space="preserve"> = 5 \* GB3 \* MERGEFORMAT </w:instrText>
            </w:r>
            <w:r>
              <w:rPr>
                <w:rFonts w:hint="eastAsia"/>
                <w:sz w:val="18"/>
                <w:szCs w:val="18"/>
                <w:vertAlign w:val="baseline"/>
                <w:lang w:val="en-US" w:eastAsia="zh-CN"/>
              </w:rPr>
              <w:fldChar w:fldCharType="separate"/>
            </w:r>
            <w:r>
              <w:rPr>
                <w:sz w:val="18"/>
                <w:szCs w:val="18"/>
              </w:rPr>
              <w:t>⑤</w:t>
            </w:r>
            <w:r>
              <w:rPr>
                <w:rFonts w:hint="eastAsia"/>
                <w:sz w:val="18"/>
                <w:szCs w:val="18"/>
                <w:vertAlign w:val="baseline"/>
                <w:lang w:val="en-US" w:eastAsia="zh-CN"/>
              </w:rPr>
              <w:fldChar w:fldCharType="end"/>
            </w:r>
            <w:r>
              <w:rPr>
                <w:rFonts w:hint="eastAsia"/>
                <w:sz w:val="18"/>
                <w:szCs w:val="18"/>
                <w:vertAlign w:val="baseline"/>
                <w:lang w:val="en-US" w:eastAsia="zh-CN"/>
              </w:rPr>
              <w:t>基础数据信息和汇集信息资料准确，1分。</w:t>
            </w:r>
          </w:p>
        </w:tc>
        <w:tc>
          <w:tcPr>
            <w:tcW w:w="3040" w:type="dxa"/>
          </w:tcPr>
          <w:p>
            <w:pPr>
              <w:jc w:val="both"/>
              <w:rPr>
                <w:rFonts w:hint="default"/>
                <w:sz w:val="18"/>
                <w:szCs w:val="18"/>
                <w:vertAlign w:val="baseline"/>
                <w:lang w:val="en-US" w:eastAsia="zh-CN"/>
              </w:rPr>
            </w:pPr>
            <w:r>
              <w:rPr>
                <w:rFonts w:hint="eastAsia"/>
                <w:sz w:val="18"/>
                <w:szCs w:val="18"/>
                <w:vertAlign w:val="baseline"/>
                <w:lang w:val="en-US" w:eastAsia="zh-CN"/>
              </w:rPr>
              <w:t>执行</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restart"/>
          </w:tcPr>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p>
          <w:p>
            <w:pPr>
              <w:jc w:val="center"/>
              <w:rPr>
                <w:rFonts w:hint="eastAsia"/>
                <w:sz w:val="18"/>
                <w:szCs w:val="18"/>
                <w:vertAlign w:val="baseline"/>
                <w:lang w:eastAsia="zh-CN"/>
              </w:rPr>
            </w:pPr>
            <w:r>
              <w:rPr>
                <w:rFonts w:hint="eastAsia"/>
                <w:sz w:val="18"/>
                <w:szCs w:val="18"/>
                <w:vertAlign w:val="baseline"/>
                <w:lang w:eastAsia="zh-CN"/>
              </w:rPr>
              <w:t>产出及效率</w:t>
            </w:r>
          </w:p>
          <w:p>
            <w:pPr>
              <w:jc w:val="center"/>
              <w:rPr>
                <w:rFonts w:hint="eastAsia"/>
                <w:sz w:val="18"/>
                <w:szCs w:val="18"/>
                <w:vertAlign w:val="baseline"/>
                <w:lang w:eastAsia="zh-CN"/>
              </w:rPr>
            </w:pPr>
            <w:r>
              <w:rPr>
                <w:rFonts w:hint="eastAsia"/>
                <w:sz w:val="18"/>
                <w:szCs w:val="18"/>
                <w:vertAlign w:val="baseline"/>
                <w:lang w:eastAsia="zh-CN"/>
              </w:rPr>
              <w:t>（</w:t>
            </w:r>
            <w:r>
              <w:rPr>
                <w:rFonts w:hint="eastAsia"/>
                <w:sz w:val="18"/>
                <w:szCs w:val="18"/>
                <w:vertAlign w:val="baseline"/>
                <w:lang w:val="en-US" w:eastAsia="zh-CN"/>
              </w:rPr>
              <w:t>26分</w:t>
            </w:r>
            <w:r>
              <w:rPr>
                <w:rFonts w:hint="eastAsia"/>
                <w:sz w:val="18"/>
                <w:szCs w:val="18"/>
                <w:vertAlign w:val="baseline"/>
                <w:lang w:eastAsia="zh-CN"/>
              </w:rPr>
              <w:t>）</w:t>
            </w:r>
          </w:p>
        </w:tc>
        <w:tc>
          <w:tcPr>
            <w:tcW w:w="1210"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职责履行</w:t>
            </w:r>
          </w:p>
          <w:p>
            <w:pPr>
              <w:jc w:val="center"/>
              <w:rPr>
                <w:rFonts w:hint="eastAsia" w:eastAsiaTheme="minorEastAsia"/>
                <w:sz w:val="18"/>
                <w:szCs w:val="18"/>
                <w:vertAlign w:val="baseline"/>
                <w:lang w:val="en-US" w:eastAsia="zh-CN"/>
              </w:rPr>
            </w:pPr>
            <w:r>
              <w:rPr>
                <w:rFonts w:hint="eastAsia"/>
                <w:sz w:val="18"/>
                <w:szCs w:val="18"/>
                <w:vertAlign w:val="baseline"/>
                <w:lang w:val="en-US" w:eastAsia="zh-CN"/>
              </w:rPr>
              <w:t>（6分）</w:t>
            </w:r>
          </w:p>
        </w:tc>
        <w:tc>
          <w:tcPr>
            <w:tcW w:w="2169" w:type="dxa"/>
          </w:tcPr>
          <w:p>
            <w:pPr>
              <w:jc w:val="both"/>
              <w:rPr>
                <w:rFonts w:hint="eastAsia"/>
                <w:sz w:val="18"/>
                <w:szCs w:val="18"/>
                <w:vertAlign w:val="baseline"/>
                <w:lang w:eastAsia="zh-CN"/>
              </w:rPr>
            </w:pPr>
          </w:p>
          <w:p>
            <w:pPr>
              <w:jc w:val="both"/>
              <w:rPr>
                <w:rFonts w:hint="eastAsia"/>
                <w:sz w:val="18"/>
                <w:szCs w:val="18"/>
                <w:vertAlign w:val="baseline"/>
                <w:lang w:eastAsia="zh-CN"/>
              </w:rPr>
            </w:pPr>
            <w:r>
              <w:rPr>
                <w:rFonts w:hint="eastAsia"/>
                <w:sz w:val="18"/>
                <w:szCs w:val="18"/>
                <w:vertAlign w:val="baseline"/>
                <w:lang w:eastAsia="zh-CN"/>
              </w:rPr>
              <w:t>重点工作实际完成率</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6</w:t>
            </w:r>
          </w:p>
        </w:tc>
        <w:tc>
          <w:tcPr>
            <w:tcW w:w="4860" w:type="dxa"/>
          </w:tcPr>
          <w:p>
            <w:pPr>
              <w:jc w:val="both"/>
              <w:rPr>
                <w:rFonts w:hint="eastAsia"/>
                <w:sz w:val="18"/>
                <w:szCs w:val="18"/>
                <w:vertAlign w:val="baseline"/>
                <w:lang w:val="en-US" w:eastAsia="zh-CN"/>
              </w:rPr>
            </w:pPr>
            <w:r>
              <w:rPr>
                <w:rFonts w:hint="eastAsia"/>
                <w:sz w:val="18"/>
                <w:szCs w:val="18"/>
                <w:vertAlign w:val="baseline"/>
                <w:lang w:val="en-US" w:eastAsia="zh-CN"/>
              </w:rPr>
              <w:t>根据2018年部门重点工程与重点工作完成情况打分。该项得分=（实际重点工程量与重点工作完成量与完成数）得满分。</w:t>
            </w:r>
          </w:p>
        </w:tc>
        <w:tc>
          <w:tcPr>
            <w:tcW w:w="3040" w:type="dxa"/>
          </w:tcPr>
          <w:p>
            <w:pPr>
              <w:jc w:val="both"/>
              <w:rPr>
                <w:rFonts w:hint="eastAsia"/>
                <w:sz w:val="18"/>
                <w:szCs w:val="18"/>
                <w:vertAlign w:val="baseline"/>
                <w:lang w:val="en-US" w:eastAsia="zh-CN"/>
              </w:rPr>
            </w:pPr>
            <w:r>
              <w:rPr>
                <w:rFonts w:hint="eastAsia"/>
                <w:sz w:val="18"/>
                <w:szCs w:val="18"/>
                <w:vertAlign w:val="baseline"/>
                <w:lang w:val="en-US" w:eastAsia="zh-CN"/>
              </w:rPr>
              <w:t>基本完成了各项工作目标和任务。</w:t>
            </w:r>
          </w:p>
        </w:tc>
        <w:tc>
          <w:tcPr>
            <w:tcW w:w="638"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restart"/>
            <w:vAlign w:val="center"/>
          </w:tcPr>
          <w:p>
            <w:pPr>
              <w:jc w:val="center"/>
              <w:rPr>
                <w:rFonts w:hint="eastAsia"/>
                <w:sz w:val="18"/>
                <w:szCs w:val="18"/>
                <w:vertAlign w:val="baseline"/>
                <w:lang w:eastAsia="zh-CN"/>
              </w:rPr>
            </w:pPr>
            <w:r>
              <w:rPr>
                <w:rFonts w:hint="eastAsia"/>
                <w:sz w:val="18"/>
                <w:szCs w:val="18"/>
                <w:vertAlign w:val="baseline"/>
                <w:lang w:eastAsia="zh-CN"/>
              </w:rPr>
              <w:t>履行效益（</w:t>
            </w:r>
            <w:r>
              <w:rPr>
                <w:rFonts w:hint="eastAsia"/>
                <w:sz w:val="18"/>
                <w:szCs w:val="18"/>
                <w:vertAlign w:val="baseline"/>
                <w:lang w:val="en-US" w:eastAsia="zh-CN"/>
              </w:rPr>
              <w:t>20分</w:t>
            </w:r>
            <w:r>
              <w:rPr>
                <w:rFonts w:hint="eastAsia"/>
                <w:sz w:val="18"/>
                <w:szCs w:val="18"/>
                <w:vertAlign w:val="baseline"/>
                <w:lang w:eastAsia="zh-CN"/>
              </w:rPr>
              <w:t>）</w:t>
            </w: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经济效益</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sz w:val="18"/>
                <w:szCs w:val="18"/>
                <w:vertAlign w:val="baseline"/>
                <w:lang w:val="en-US" w:eastAsia="zh-CN"/>
              </w:rPr>
            </w:pPr>
            <w:r>
              <w:rPr>
                <w:rFonts w:hint="eastAsia"/>
                <w:sz w:val="18"/>
                <w:szCs w:val="18"/>
                <w:vertAlign w:val="baseline"/>
                <w:lang w:val="en-US" w:eastAsia="zh-CN"/>
              </w:rPr>
              <w:t>通过投入是否能促进当地的经济发展，农民的生活质量提升，农民的收入提高，新农村建设稳步推进，5分。</w:t>
            </w:r>
          </w:p>
        </w:tc>
        <w:tc>
          <w:tcPr>
            <w:tcW w:w="3040"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通过投入，2019年全镇休闲旅游农业产逢勃发展，打造“田园小镇”，如十里观赏桃花、千亩向日葵、千亩荷花、万亩油菜基地万亩"水稻+小龙虾"高效种养模式示范基地，并举办首届油菜花旅游文化节，有效促进当地的经济发展，农民的生活质量提升，农民的收入提高，全力实施乡村振兴，新农村建</w:t>
            </w:r>
            <w:bookmarkStart w:id="0" w:name="_GoBack"/>
            <w:bookmarkEnd w:id="0"/>
            <w:r>
              <w:rPr>
                <w:rFonts w:hint="eastAsia"/>
                <w:sz w:val="18"/>
                <w:szCs w:val="18"/>
                <w:vertAlign w:val="baseline"/>
                <w:lang w:val="en-US" w:eastAsia="zh-CN"/>
              </w:rPr>
              <w:t>设日新月异，村村通、组组通、湾湾门前美化</w:t>
            </w:r>
          </w:p>
        </w:tc>
        <w:tc>
          <w:tcPr>
            <w:tcW w:w="638" w:type="dxa"/>
            <w:vAlign w:val="center"/>
          </w:tcPr>
          <w:p>
            <w:pPr>
              <w:numPr>
                <w:ilvl w:val="0"/>
                <w:numId w:val="0"/>
              </w:numPr>
              <w:jc w:val="center"/>
              <w:rPr>
                <w:rFonts w:hint="eastAsia"/>
                <w:sz w:val="18"/>
                <w:szCs w:val="18"/>
                <w:vertAlign w:val="baseline"/>
                <w:lang w:val="en-US" w:eastAsia="zh-CN"/>
              </w:rPr>
            </w:pPr>
          </w:p>
          <w:p>
            <w:pPr>
              <w:numPr>
                <w:ilvl w:val="0"/>
                <w:numId w:val="0"/>
              </w:numPr>
              <w:jc w:val="center"/>
              <w:rPr>
                <w:rFonts w:hint="eastAsia"/>
                <w:sz w:val="18"/>
                <w:szCs w:val="18"/>
                <w:vertAlign w:val="baseline"/>
                <w:lang w:val="en-US" w:eastAsia="zh-CN"/>
              </w:rPr>
            </w:pPr>
          </w:p>
          <w:p>
            <w:pPr>
              <w:numPr>
                <w:ilvl w:val="0"/>
                <w:numId w:val="0"/>
              </w:numPr>
              <w:jc w:val="center"/>
              <w:rPr>
                <w:rFonts w:hint="eastAsia"/>
                <w:sz w:val="18"/>
                <w:szCs w:val="18"/>
                <w:vertAlign w:val="baseline"/>
                <w:lang w:val="en-US" w:eastAsia="zh-CN"/>
              </w:rPr>
            </w:pPr>
            <w:r>
              <w:rPr>
                <w:rFonts w:hint="eastAsia"/>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社会效益</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通过投入是否能促进当地社会环境更加和谐、稳定，样本量80%，得5分。</w:t>
            </w:r>
          </w:p>
        </w:tc>
        <w:tc>
          <w:tcPr>
            <w:tcW w:w="3040" w:type="dxa"/>
          </w:tcPr>
          <w:p>
            <w:pPr>
              <w:jc w:val="both"/>
              <w:rPr>
                <w:rFonts w:hint="default" w:eastAsia="仿宋"/>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w:t>
            </w:r>
            <w:r>
              <w:rPr>
                <w:rFonts w:hint="eastAsia"/>
                <w:sz w:val="18"/>
                <w:szCs w:val="18"/>
                <w:vertAlign w:val="baseline"/>
                <w:lang w:val="en-US" w:eastAsia="zh-CN"/>
              </w:rPr>
              <w:t>投入，脱贫攻坚、惠农政策有效落实，社会治安良好，农村公共安全防控、社会化服务体系逐步完善，农村危房改造和农村改厕作深化推进，民政保障体系进一步健全</w:t>
            </w:r>
          </w:p>
        </w:tc>
        <w:tc>
          <w:tcPr>
            <w:tcW w:w="638" w:type="dxa"/>
            <w:vAlign w:val="center"/>
          </w:tcPr>
          <w:p>
            <w:pPr>
              <w:jc w:val="center"/>
              <w:rPr>
                <w:rFonts w:hint="eastAsia"/>
                <w:color w:val="auto"/>
                <w:sz w:val="18"/>
                <w:szCs w:val="18"/>
                <w:highlight w:val="none"/>
                <w:vertAlign w:val="baseline"/>
                <w:lang w:val="en-US" w:eastAsia="zh-CN"/>
              </w:rPr>
            </w:pPr>
          </w:p>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行政效能</w:t>
            </w:r>
          </w:p>
        </w:tc>
        <w:tc>
          <w:tcPr>
            <w:tcW w:w="645" w:type="dxa"/>
          </w:tcPr>
          <w:p>
            <w:pPr>
              <w:jc w:val="center"/>
              <w:rPr>
                <w:rFonts w:hint="eastAsia"/>
                <w:sz w:val="18"/>
                <w:szCs w:val="18"/>
                <w:vertAlign w:val="baseline"/>
                <w:lang w:val="en-US" w:eastAsia="zh-CN"/>
              </w:rPr>
            </w:pPr>
          </w:p>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通过经费的投入是否使镇各职能部门的服务更加科学、规范、有效，完善行政职能配置，正常运转，得5分。</w:t>
            </w:r>
          </w:p>
        </w:tc>
        <w:tc>
          <w:tcPr>
            <w:tcW w:w="3040" w:type="dxa"/>
          </w:tcPr>
          <w:p>
            <w:pPr>
              <w:jc w:val="both"/>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本年全镇行政运行平稳，各项工作职能有序开展，完成各项指标，党风政风持续好转。</w:t>
            </w:r>
          </w:p>
        </w:tc>
        <w:tc>
          <w:tcPr>
            <w:tcW w:w="638" w:type="dxa"/>
            <w:vAlign w:val="center"/>
          </w:tcPr>
          <w:p>
            <w:pPr>
              <w:jc w:val="center"/>
              <w:rPr>
                <w:rFonts w:hint="eastAsia"/>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2" w:type="dxa"/>
            <w:vMerge w:val="continue"/>
          </w:tcPr>
          <w:p>
            <w:pPr>
              <w:jc w:val="center"/>
              <w:rPr>
                <w:rFonts w:hint="eastAsia"/>
                <w:sz w:val="18"/>
                <w:szCs w:val="18"/>
                <w:vertAlign w:val="baseline"/>
                <w:lang w:eastAsia="zh-CN"/>
              </w:rPr>
            </w:pPr>
          </w:p>
        </w:tc>
        <w:tc>
          <w:tcPr>
            <w:tcW w:w="1210" w:type="dxa"/>
            <w:vMerge w:val="continue"/>
          </w:tcPr>
          <w:p>
            <w:pPr>
              <w:jc w:val="center"/>
              <w:rPr>
                <w:rFonts w:hint="eastAsia"/>
                <w:sz w:val="18"/>
                <w:szCs w:val="18"/>
                <w:vertAlign w:val="baseline"/>
                <w:lang w:eastAsia="zh-CN"/>
              </w:rPr>
            </w:pPr>
          </w:p>
        </w:tc>
        <w:tc>
          <w:tcPr>
            <w:tcW w:w="2169" w:type="dxa"/>
            <w:vAlign w:val="center"/>
          </w:tcPr>
          <w:p>
            <w:pPr>
              <w:jc w:val="both"/>
              <w:rPr>
                <w:rFonts w:hint="eastAsia"/>
                <w:sz w:val="18"/>
                <w:szCs w:val="18"/>
                <w:vertAlign w:val="baseline"/>
                <w:lang w:eastAsia="zh-CN"/>
              </w:rPr>
            </w:pPr>
            <w:r>
              <w:rPr>
                <w:rFonts w:hint="eastAsia"/>
                <w:sz w:val="18"/>
                <w:szCs w:val="18"/>
                <w:vertAlign w:val="baseline"/>
                <w:lang w:eastAsia="zh-CN"/>
              </w:rPr>
              <w:t>社会公众或服务对象满意度</w:t>
            </w: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5</w:t>
            </w:r>
          </w:p>
        </w:tc>
        <w:tc>
          <w:tcPr>
            <w:tcW w:w="4860"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90%（含）以上计6分，80%（含）~90%计4分，70%（含）~80%计2分，低于70%计0分。</w:t>
            </w:r>
          </w:p>
        </w:tc>
        <w:tc>
          <w:tcPr>
            <w:tcW w:w="3040" w:type="dxa"/>
            <w:vAlign w:val="top"/>
          </w:tcPr>
          <w:p>
            <w:pPr>
              <w:jc w:val="both"/>
              <w:rPr>
                <w:rFonts w:hint="eastAsia"/>
                <w:sz w:val="18"/>
                <w:szCs w:val="18"/>
                <w:vertAlign w:val="baseline"/>
                <w:lang w:val="en-US" w:eastAsia="zh-CN"/>
              </w:rPr>
            </w:pPr>
            <w:r>
              <w:rPr>
                <w:rFonts w:hint="eastAsia"/>
                <w:sz w:val="18"/>
                <w:szCs w:val="18"/>
                <w:vertAlign w:val="baseline"/>
                <w:lang w:val="en-US" w:eastAsia="zh-CN"/>
              </w:rPr>
              <w:t>服务对象满意度85%</w:t>
            </w:r>
          </w:p>
        </w:tc>
        <w:tc>
          <w:tcPr>
            <w:tcW w:w="638" w:type="dxa"/>
            <w:vAlign w:val="top"/>
          </w:tcPr>
          <w:p>
            <w:pPr>
              <w:jc w:val="center"/>
              <w:rPr>
                <w:rFonts w:hint="eastAsia"/>
                <w:sz w:val="18"/>
                <w:szCs w:val="18"/>
                <w:vertAlign w:val="baseline"/>
                <w:lang w:val="en-US" w:eastAsia="zh-CN"/>
              </w:rPr>
            </w:pPr>
          </w:p>
          <w:p>
            <w:pPr>
              <w:jc w:val="center"/>
              <w:rPr>
                <w:rFonts w:hint="default"/>
                <w:sz w:val="18"/>
                <w:szCs w:val="18"/>
                <w:vertAlign w:val="baseline"/>
                <w:lang w:val="en-US" w:eastAsia="zh-CN"/>
              </w:rPr>
            </w:pPr>
            <w:r>
              <w:rPr>
                <w:rFonts w:hint="eastAsia"/>
                <w:sz w:val="18"/>
                <w:szCs w:val="18"/>
                <w:vertAlign w:val="baseline"/>
                <w:lang w:val="en-US" w:eastAsia="zh-CN"/>
              </w:rPr>
              <w:t>4</w:t>
            </w:r>
          </w:p>
          <w:p>
            <w:pPr>
              <w:jc w:val="cente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2" w:type="dxa"/>
          </w:tcPr>
          <w:p>
            <w:pPr>
              <w:jc w:val="center"/>
              <w:rPr>
                <w:rFonts w:hint="eastAsia"/>
                <w:sz w:val="18"/>
                <w:szCs w:val="18"/>
                <w:vertAlign w:val="baseline"/>
                <w:lang w:eastAsia="zh-CN"/>
              </w:rPr>
            </w:pPr>
            <w:r>
              <w:rPr>
                <w:rFonts w:hint="eastAsia"/>
                <w:sz w:val="18"/>
                <w:szCs w:val="18"/>
                <w:vertAlign w:val="baseline"/>
                <w:lang w:eastAsia="zh-CN"/>
              </w:rPr>
              <w:t>总分</w:t>
            </w:r>
          </w:p>
        </w:tc>
        <w:tc>
          <w:tcPr>
            <w:tcW w:w="1210" w:type="dxa"/>
          </w:tcPr>
          <w:p>
            <w:pPr>
              <w:jc w:val="center"/>
              <w:rPr>
                <w:rFonts w:hint="eastAsia"/>
                <w:sz w:val="18"/>
                <w:szCs w:val="18"/>
                <w:vertAlign w:val="baseline"/>
                <w:lang w:eastAsia="zh-CN"/>
              </w:rPr>
            </w:pPr>
          </w:p>
        </w:tc>
        <w:tc>
          <w:tcPr>
            <w:tcW w:w="2169" w:type="dxa"/>
          </w:tcPr>
          <w:p>
            <w:pPr>
              <w:jc w:val="both"/>
              <w:rPr>
                <w:rFonts w:hint="eastAsia"/>
                <w:sz w:val="18"/>
                <w:szCs w:val="18"/>
                <w:vertAlign w:val="baseline"/>
                <w:lang w:eastAsia="zh-CN"/>
              </w:rPr>
            </w:pPr>
          </w:p>
        </w:tc>
        <w:tc>
          <w:tcPr>
            <w:tcW w:w="645" w:type="dxa"/>
            <w:vAlign w:val="center"/>
          </w:tcPr>
          <w:p>
            <w:pPr>
              <w:jc w:val="center"/>
              <w:rPr>
                <w:rFonts w:hint="eastAsia"/>
                <w:sz w:val="18"/>
                <w:szCs w:val="18"/>
                <w:vertAlign w:val="baseline"/>
                <w:lang w:val="en-US" w:eastAsia="zh-CN"/>
              </w:rPr>
            </w:pPr>
            <w:r>
              <w:rPr>
                <w:rFonts w:hint="eastAsia"/>
                <w:sz w:val="18"/>
                <w:szCs w:val="18"/>
                <w:vertAlign w:val="baseline"/>
                <w:lang w:val="en-US" w:eastAsia="zh-CN"/>
              </w:rPr>
              <w:t>100</w:t>
            </w:r>
          </w:p>
        </w:tc>
        <w:tc>
          <w:tcPr>
            <w:tcW w:w="4860" w:type="dxa"/>
            <w:vAlign w:val="top"/>
          </w:tcPr>
          <w:p>
            <w:pPr>
              <w:jc w:val="both"/>
              <w:rPr>
                <w:rFonts w:hint="eastAsia"/>
                <w:sz w:val="18"/>
                <w:szCs w:val="18"/>
                <w:vertAlign w:val="baseline"/>
                <w:lang w:val="en-US" w:eastAsia="zh-CN"/>
              </w:rPr>
            </w:pPr>
          </w:p>
        </w:tc>
        <w:tc>
          <w:tcPr>
            <w:tcW w:w="3040" w:type="dxa"/>
            <w:vAlign w:val="top"/>
          </w:tcPr>
          <w:p>
            <w:pPr>
              <w:jc w:val="both"/>
              <w:rPr>
                <w:rFonts w:hint="eastAsia"/>
                <w:sz w:val="18"/>
                <w:szCs w:val="18"/>
                <w:vertAlign w:val="baseline"/>
                <w:lang w:val="en-US" w:eastAsia="zh-CN"/>
              </w:rPr>
            </w:pPr>
          </w:p>
        </w:tc>
        <w:tc>
          <w:tcPr>
            <w:tcW w:w="638" w:type="dxa"/>
            <w:vAlign w:val="top"/>
          </w:tcPr>
          <w:p>
            <w:pPr>
              <w:jc w:val="center"/>
              <w:rPr>
                <w:rFonts w:hint="default"/>
                <w:sz w:val="18"/>
                <w:szCs w:val="18"/>
                <w:vertAlign w:val="baseline"/>
                <w:lang w:val="en-US" w:eastAsia="zh-CN"/>
              </w:rPr>
            </w:pPr>
            <w:r>
              <w:rPr>
                <w:rFonts w:hint="eastAsia"/>
                <w:sz w:val="18"/>
                <w:szCs w:val="18"/>
                <w:vertAlign w:val="baseline"/>
                <w:lang w:val="en-US" w:eastAsia="zh-CN"/>
              </w:rPr>
              <w:t>90</w:t>
            </w:r>
          </w:p>
        </w:tc>
      </w:tr>
    </w:tbl>
    <w:p>
      <w:pPr>
        <w:rPr>
          <w:sz w:val="18"/>
          <w:szCs w:val="18"/>
        </w:rPr>
      </w:pPr>
    </w:p>
    <w:sectPr>
      <w:headerReference r:id="rId3" w:type="default"/>
      <w:footerReference r:id="rId4" w:type="default"/>
      <w:pgSz w:w="16838" w:h="11906" w:orient="landscape"/>
      <w:pgMar w:top="1440" w:right="1440" w:bottom="1440" w:left="1440" w:header="851" w:footer="992" w:gutter="0"/>
      <w:pgNumType w:start="16"/>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C5A4E"/>
    <w:rsid w:val="0100348E"/>
    <w:rsid w:val="012B4489"/>
    <w:rsid w:val="08F97C16"/>
    <w:rsid w:val="0A771144"/>
    <w:rsid w:val="0B046653"/>
    <w:rsid w:val="0EED519E"/>
    <w:rsid w:val="14762F4A"/>
    <w:rsid w:val="15876AE8"/>
    <w:rsid w:val="173B3CDA"/>
    <w:rsid w:val="17FD74EF"/>
    <w:rsid w:val="190430DE"/>
    <w:rsid w:val="19C6341F"/>
    <w:rsid w:val="1B8678DF"/>
    <w:rsid w:val="1EA818E0"/>
    <w:rsid w:val="1FC360D2"/>
    <w:rsid w:val="20411B3A"/>
    <w:rsid w:val="20FE292E"/>
    <w:rsid w:val="256F7066"/>
    <w:rsid w:val="26CD3B56"/>
    <w:rsid w:val="2ABB7326"/>
    <w:rsid w:val="2EBA391A"/>
    <w:rsid w:val="328636A2"/>
    <w:rsid w:val="33396354"/>
    <w:rsid w:val="34F82C59"/>
    <w:rsid w:val="36B34042"/>
    <w:rsid w:val="38EC3A41"/>
    <w:rsid w:val="3AE8758E"/>
    <w:rsid w:val="406D3B0E"/>
    <w:rsid w:val="40BE644D"/>
    <w:rsid w:val="42035181"/>
    <w:rsid w:val="47762818"/>
    <w:rsid w:val="486838F1"/>
    <w:rsid w:val="4AE255CC"/>
    <w:rsid w:val="582560D7"/>
    <w:rsid w:val="5DE4686F"/>
    <w:rsid w:val="5F417E9B"/>
    <w:rsid w:val="5F583E95"/>
    <w:rsid w:val="619C6C55"/>
    <w:rsid w:val="64165B12"/>
    <w:rsid w:val="66332A30"/>
    <w:rsid w:val="676C5A4E"/>
    <w:rsid w:val="68EA2D5A"/>
    <w:rsid w:val="69882274"/>
    <w:rsid w:val="69A27529"/>
    <w:rsid w:val="6B2A2545"/>
    <w:rsid w:val="71251C83"/>
    <w:rsid w:val="72655192"/>
    <w:rsid w:val="754D0BC0"/>
    <w:rsid w:val="79381F88"/>
    <w:rsid w:val="7D61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2018-01-11T10:26:00Z</dcterms:created>
  <dc:creator>Administrator</dc:creator>
  <cp:lastModifiedBy>袁会计</cp:lastModifiedBy>
  <cp:lastPrinted>2020-11-18T08:30:42Z</cp:lastPrinted>
  <dcterms:modified xsi:type="dcterms:W3CDTF">2020-11-18T08:47:15Z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