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2019年洋泉镇部门整体支出绩效评价指标表</w:t>
      </w:r>
    </w:p>
    <w:tbl>
      <w:tblPr>
        <w:tblStyle w:val="5"/>
        <w:tblpPr w:leftFromText="180" w:rightFromText="180" w:vertAnchor="text" w:horzAnchor="page" w:tblpX="1772" w:tblpY="398"/>
        <w:tblOverlap w:val="never"/>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210"/>
        <w:gridCol w:w="1922"/>
        <w:gridCol w:w="690"/>
        <w:gridCol w:w="4665"/>
        <w:gridCol w:w="3555"/>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2"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一级指标</w:t>
            </w:r>
          </w:p>
        </w:tc>
        <w:tc>
          <w:tcPr>
            <w:tcW w:w="121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二级指标</w:t>
            </w:r>
          </w:p>
        </w:tc>
        <w:tc>
          <w:tcPr>
            <w:tcW w:w="1922"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三级指标</w:t>
            </w:r>
          </w:p>
        </w:tc>
        <w:tc>
          <w:tcPr>
            <w:tcW w:w="69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分值</w:t>
            </w:r>
          </w:p>
        </w:tc>
        <w:tc>
          <w:tcPr>
            <w:tcW w:w="4665"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评价标准</w:t>
            </w:r>
          </w:p>
        </w:tc>
        <w:tc>
          <w:tcPr>
            <w:tcW w:w="3555"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指标说明</w:t>
            </w:r>
          </w:p>
        </w:tc>
        <w:tc>
          <w:tcPr>
            <w:tcW w:w="52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投入</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预算配置</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在职人员控制率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tcPr>
          <w:p>
            <w:pPr>
              <w:jc w:val="both"/>
              <w:rPr>
                <w:rFonts w:hint="eastAsia"/>
                <w:sz w:val="18"/>
                <w:szCs w:val="18"/>
                <w:vertAlign w:val="baseline"/>
                <w:lang w:eastAsia="zh-CN"/>
              </w:rPr>
            </w:pPr>
            <w:r>
              <w:rPr>
                <w:rFonts w:hint="eastAsia"/>
                <w:sz w:val="18"/>
                <w:szCs w:val="18"/>
                <w:vertAlign w:val="baseline"/>
                <w:lang w:eastAsia="zh-CN"/>
              </w:rPr>
              <w:t>以</w:t>
            </w:r>
            <w:r>
              <w:rPr>
                <w:rFonts w:hint="eastAsia"/>
                <w:sz w:val="18"/>
                <w:szCs w:val="18"/>
                <w:vertAlign w:val="baseline"/>
                <w:lang w:val="en-US" w:eastAsia="zh-CN"/>
              </w:rPr>
              <w:t>100%为标准，在职人员控制</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100%计5分，每超过一个百分点扣0.5分，扣完为止。</w:t>
            </w:r>
          </w:p>
        </w:tc>
        <w:tc>
          <w:tcPr>
            <w:tcW w:w="3555" w:type="dxa"/>
          </w:tcPr>
          <w:p>
            <w:pPr>
              <w:jc w:val="both"/>
              <w:rPr>
                <w:rFonts w:hint="eastAsia"/>
                <w:sz w:val="18"/>
                <w:szCs w:val="18"/>
                <w:vertAlign w:val="baseline"/>
                <w:lang w:eastAsia="zh-CN"/>
              </w:rPr>
            </w:pPr>
            <w:r>
              <w:rPr>
                <w:rFonts w:hint="eastAsia"/>
                <w:sz w:val="18"/>
                <w:szCs w:val="18"/>
                <w:vertAlign w:val="baseline"/>
                <w:lang w:eastAsia="zh-CN"/>
              </w:rPr>
              <w:t>在职人员控制率</w:t>
            </w:r>
            <w:r>
              <w:rPr>
                <w:rFonts w:hint="eastAsia"/>
                <w:sz w:val="18"/>
                <w:szCs w:val="18"/>
                <w:vertAlign w:val="baseline"/>
                <w:lang w:val="en-US" w:eastAsia="zh-CN"/>
              </w:rPr>
              <w:t>=（35/35）</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w:t>
            </w:r>
          </w:p>
        </w:tc>
        <w:tc>
          <w:tcPr>
            <w:tcW w:w="5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665"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100%，计6分，每超过一个百分点扣1分，扣完为止。</w:t>
            </w:r>
          </w:p>
        </w:tc>
        <w:tc>
          <w:tcPr>
            <w:tcW w:w="3555" w:type="dxa"/>
            <w:vAlign w:val="center"/>
          </w:tcPr>
          <w:p>
            <w:pPr>
              <w:jc w:val="both"/>
              <w:rPr>
                <w:rFonts w:hint="default"/>
                <w:sz w:val="18"/>
                <w:szCs w:val="18"/>
                <w:vertAlign w:val="baseline"/>
                <w:lang w:val="en-US" w:eastAsia="zh-CN"/>
              </w:rPr>
            </w:pPr>
            <w:r>
              <w:rPr>
                <w:rFonts w:hint="eastAsia"/>
                <w:sz w:val="18"/>
                <w:szCs w:val="18"/>
                <w:vertAlign w:val="baseline"/>
                <w:lang w:eastAsia="zh-CN"/>
              </w:rPr>
              <w:t>“三公经费”控制率</w:t>
            </w:r>
            <w:r>
              <w:rPr>
                <w:rFonts w:hint="eastAsia"/>
                <w:sz w:val="18"/>
                <w:szCs w:val="18"/>
                <w:vertAlign w:val="baseline"/>
                <w:lang w:val="en-US" w:eastAsia="zh-CN"/>
              </w:rPr>
              <w:t>=（</w:t>
            </w:r>
            <w:r>
              <w:rPr>
                <w:rFonts w:hint="eastAsia"/>
                <w:sz w:val="18"/>
                <w:szCs w:val="18"/>
                <w:vertAlign w:val="baseline"/>
                <w:lang w:eastAsia="zh-CN"/>
              </w:rPr>
              <w:t>23</w:t>
            </w:r>
            <w:r>
              <w:rPr>
                <w:rFonts w:hint="eastAsia"/>
                <w:sz w:val="18"/>
                <w:szCs w:val="18"/>
                <w:vertAlign w:val="baseline"/>
                <w:lang w:val="en-US" w:eastAsia="zh-CN"/>
              </w:rPr>
              <w:t>.</w:t>
            </w:r>
            <w:r>
              <w:rPr>
                <w:rFonts w:hint="eastAsia"/>
                <w:sz w:val="18"/>
                <w:szCs w:val="18"/>
                <w:vertAlign w:val="baseline"/>
                <w:lang w:eastAsia="zh-CN"/>
              </w:rPr>
              <w:t>69</w:t>
            </w:r>
            <w:r>
              <w:rPr>
                <w:rFonts w:hint="eastAsia"/>
                <w:sz w:val="18"/>
                <w:szCs w:val="18"/>
                <w:vertAlign w:val="baseline"/>
                <w:lang w:val="en-US" w:eastAsia="zh-CN"/>
              </w:rPr>
              <w:t>/24.</w:t>
            </w:r>
            <w:r>
              <w:rPr>
                <w:rFonts w:hint="eastAsia" w:asciiTheme="minorEastAsia" w:hAnsiTheme="minorEastAsia" w:cstheme="minorEastAsia"/>
                <w:sz w:val="18"/>
                <w:szCs w:val="18"/>
                <w:vertAlign w:val="baseline"/>
                <w:lang w:val="en-US" w:eastAsia="zh-CN"/>
              </w:rPr>
              <w:t>40）</w:t>
            </w:r>
            <w:r>
              <w:rPr>
                <w:rFonts w:hint="default" w:asciiTheme="minorEastAsia" w:hAnsiTheme="minorEastAsia" w:cstheme="minorEastAsia"/>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100%=97%</w:t>
            </w:r>
          </w:p>
        </w:tc>
        <w:tc>
          <w:tcPr>
            <w:tcW w:w="52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机构设置完成情况</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c>
          <w:tcPr>
            <w:tcW w:w="4665" w:type="dxa"/>
            <w:vAlign w:val="center"/>
          </w:tcPr>
          <w:p>
            <w:pPr>
              <w:jc w:val="both"/>
              <w:rPr>
                <w:rFonts w:hint="eastAsia"/>
                <w:sz w:val="18"/>
                <w:szCs w:val="18"/>
                <w:vertAlign w:val="baseline"/>
                <w:lang w:eastAsia="zh-CN"/>
              </w:rPr>
            </w:pPr>
            <w:r>
              <w:rPr>
                <w:rFonts w:hint="eastAsia"/>
                <w:sz w:val="18"/>
                <w:szCs w:val="18"/>
                <w:vertAlign w:val="baseline"/>
                <w:lang w:eastAsia="zh-CN"/>
              </w:rPr>
              <w:t>机构设置符合上级要求得</w:t>
            </w:r>
            <w:r>
              <w:rPr>
                <w:rFonts w:hint="eastAsia"/>
                <w:sz w:val="18"/>
                <w:szCs w:val="18"/>
                <w:vertAlign w:val="baseline"/>
                <w:lang w:val="en-US" w:eastAsia="zh-CN"/>
              </w:rPr>
              <w:t>4分，机构完成设置得3分</w:t>
            </w:r>
          </w:p>
        </w:tc>
        <w:tc>
          <w:tcPr>
            <w:tcW w:w="3555" w:type="dxa"/>
            <w:vAlign w:val="center"/>
          </w:tcPr>
          <w:p>
            <w:pPr>
              <w:jc w:val="both"/>
              <w:rPr>
                <w:rFonts w:hint="eastAsia"/>
                <w:sz w:val="18"/>
                <w:szCs w:val="18"/>
                <w:vertAlign w:val="baseline"/>
                <w:lang w:eastAsia="zh-CN"/>
              </w:rPr>
            </w:pPr>
            <w:r>
              <w:rPr>
                <w:rFonts w:hint="eastAsia"/>
                <w:sz w:val="18"/>
                <w:szCs w:val="18"/>
                <w:vertAlign w:val="baseline"/>
                <w:lang w:eastAsia="zh-CN"/>
              </w:rPr>
              <w:t>要求设</w:t>
            </w:r>
            <w:r>
              <w:rPr>
                <w:rFonts w:hint="eastAsia"/>
                <w:sz w:val="18"/>
                <w:szCs w:val="18"/>
                <w:vertAlign w:val="baseline"/>
                <w:lang w:val="en-US" w:eastAsia="zh-CN"/>
              </w:rPr>
              <w:t>6个机构，完成6个</w:t>
            </w:r>
          </w:p>
        </w:tc>
        <w:tc>
          <w:tcPr>
            <w:tcW w:w="520"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过程</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56分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预算执行</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20分</w:t>
            </w:r>
            <w:r>
              <w:rPr>
                <w:rFonts w:hint="eastAsia"/>
                <w:sz w:val="18"/>
                <w:szCs w:val="18"/>
                <w:vertAlign w:val="baseline"/>
                <w:lang w:eastAsia="zh-CN"/>
              </w:rPr>
              <w:t>）</w:t>
            </w: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预算完成率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100%计满分，每低于5%扣2分，扣完为止。</w:t>
            </w:r>
          </w:p>
        </w:tc>
        <w:tc>
          <w:tcPr>
            <w:tcW w:w="3555" w:type="dxa"/>
            <w:vAlign w:val="center"/>
          </w:tcPr>
          <w:p>
            <w:pPr>
              <w:jc w:val="both"/>
              <w:rPr>
                <w:rFonts w:hint="eastAsia"/>
                <w:sz w:val="18"/>
                <w:szCs w:val="18"/>
                <w:vertAlign w:val="baseline"/>
                <w:lang w:eastAsia="zh-CN"/>
              </w:rPr>
            </w:pPr>
            <w:r>
              <w:rPr>
                <w:rFonts w:hint="eastAsia"/>
                <w:sz w:val="18"/>
                <w:szCs w:val="18"/>
                <w:vertAlign w:val="baseline"/>
                <w:lang w:val="en-US" w:eastAsia="zh-CN"/>
              </w:rPr>
              <w:t>预算完成率（</w:t>
            </w:r>
            <w:r>
              <w:rPr>
                <w:rFonts w:hint="eastAsia"/>
                <w:sz w:val="18"/>
                <w:szCs w:val="18"/>
                <w:vertAlign w:val="baseline"/>
                <w:lang w:eastAsia="zh-CN"/>
              </w:rPr>
              <w:t>2,930.29</w:t>
            </w:r>
            <w:r>
              <w:rPr>
                <w:rFonts w:hint="eastAsia"/>
                <w:sz w:val="18"/>
                <w:szCs w:val="18"/>
                <w:vertAlign w:val="baseline"/>
                <w:lang w:val="en-US" w:eastAsia="zh-CN"/>
              </w:rPr>
              <w:t>/</w:t>
            </w:r>
            <w:r>
              <w:rPr>
                <w:rFonts w:hint="eastAsia"/>
                <w:sz w:val="18"/>
                <w:szCs w:val="18"/>
                <w:vertAlign w:val="baseline"/>
                <w:lang w:eastAsia="zh-CN"/>
              </w:rPr>
              <w:t>2,930.29</w:t>
            </w:r>
            <w:r>
              <w:rPr>
                <w:rFonts w:hint="eastAsia"/>
                <w:sz w:val="18"/>
                <w:szCs w:val="18"/>
                <w:vertAlign w:val="baseline"/>
                <w:lang w:val="en-US" w:eastAsia="zh-CN"/>
              </w:rPr>
              <w:t>）</w:t>
            </w:r>
            <w:r>
              <w:rPr>
                <w:rFonts w:hint="default"/>
                <w:sz w:val="18"/>
                <w:szCs w:val="18"/>
                <w:vertAlign w:val="baseline"/>
                <w:lang w:val="en-US" w:eastAsia="zh-CN"/>
              </w:rPr>
              <w:t>×100%=</w:t>
            </w:r>
            <w:r>
              <w:rPr>
                <w:rFonts w:hint="eastAsia"/>
                <w:sz w:val="18"/>
                <w:szCs w:val="18"/>
                <w:vertAlign w:val="baseline"/>
                <w:lang w:val="en-US" w:eastAsia="zh-CN"/>
              </w:rPr>
              <w:t>100</w:t>
            </w:r>
            <w:r>
              <w:rPr>
                <w:rFonts w:hint="default"/>
                <w:sz w:val="18"/>
                <w:szCs w:val="18"/>
                <w:vertAlign w:val="baseline"/>
                <w:lang w:val="en-US" w:eastAsia="zh-CN"/>
              </w:rPr>
              <w:t>%</w:t>
            </w:r>
          </w:p>
        </w:tc>
        <w:tc>
          <w:tcPr>
            <w:tcW w:w="520"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0计5分，0-10%计4分，10-20%计3分，20-30%计2分，大于30%不得分。</w:t>
            </w:r>
          </w:p>
        </w:tc>
        <w:tc>
          <w:tcPr>
            <w:tcW w:w="3555" w:type="dxa"/>
            <w:vAlign w:val="center"/>
          </w:tcPr>
          <w:p>
            <w:pPr>
              <w:jc w:val="both"/>
              <w:rPr>
                <w:rFonts w:hint="eastAsia"/>
                <w:sz w:val="18"/>
                <w:szCs w:val="18"/>
                <w:vertAlign w:val="baseline"/>
                <w:lang w:eastAsia="zh-CN"/>
              </w:rPr>
            </w:pPr>
            <w:r>
              <w:rPr>
                <w:rFonts w:hint="eastAsia"/>
                <w:sz w:val="18"/>
                <w:szCs w:val="18"/>
                <w:vertAlign w:val="baseline"/>
                <w:lang w:eastAsia="zh-CN"/>
              </w:rPr>
              <w:t>预算</w:t>
            </w:r>
            <w:r>
              <w:rPr>
                <w:rFonts w:hint="eastAsia"/>
                <w:sz w:val="18"/>
                <w:szCs w:val="18"/>
                <w:vertAlign w:val="baseline"/>
                <w:lang w:val="en-US" w:eastAsia="zh-CN"/>
              </w:rPr>
              <w:t>控制率（0/492.56）=0</w:t>
            </w:r>
          </w:p>
        </w:tc>
        <w:tc>
          <w:tcPr>
            <w:tcW w:w="520"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新建楼堂馆所面积控制率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100%以下（含）计满分，每超出5%扣2分，扣完为止。没有楼堂馆所项目计满分。</w:t>
            </w:r>
          </w:p>
        </w:tc>
        <w:tc>
          <w:tcPr>
            <w:tcW w:w="3555"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520"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新建楼堂馆所投资概算控制率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vAlign w:val="center"/>
          </w:tcPr>
          <w:p>
            <w:pPr>
              <w:jc w:val="both"/>
              <w:rPr>
                <w:rFonts w:hint="eastAsia"/>
                <w:sz w:val="18"/>
                <w:szCs w:val="18"/>
                <w:vertAlign w:val="baseline"/>
                <w:lang w:eastAsia="zh-CN"/>
              </w:rPr>
            </w:pPr>
            <w:r>
              <w:rPr>
                <w:rFonts w:hint="eastAsia"/>
                <w:sz w:val="18"/>
                <w:szCs w:val="18"/>
                <w:vertAlign w:val="baseline"/>
                <w:lang w:val="en-US" w:eastAsia="zh-CN"/>
              </w:rPr>
              <w:t>100%以下（含）计满分，每超出5%扣2分，扣完为止。没有楼堂馆所项目计满分。</w:t>
            </w:r>
          </w:p>
        </w:tc>
        <w:tc>
          <w:tcPr>
            <w:tcW w:w="3555"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520"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eastAsiaTheme="minorEastAsia"/>
                <w:sz w:val="18"/>
                <w:szCs w:val="18"/>
                <w:vertAlign w:val="baseline"/>
                <w:lang w:val="en-US" w:eastAsia="zh-CN"/>
              </w:rPr>
            </w:pPr>
            <w:r>
              <w:rPr>
                <w:rFonts w:hint="eastAsia"/>
                <w:sz w:val="18"/>
                <w:szCs w:val="18"/>
                <w:vertAlign w:val="baseline"/>
                <w:lang w:eastAsia="zh-CN"/>
              </w:rPr>
              <w:t>预算管理</w:t>
            </w:r>
            <w:r>
              <w:rPr>
                <w:rFonts w:hint="eastAsia"/>
                <w:sz w:val="18"/>
                <w:szCs w:val="18"/>
                <w:vertAlign w:val="baseline"/>
                <w:lang w:val="en-US" w:eastAsia="zh-CN"/>
              </w:rPr>
              <w:t>(36分）</w:t>
            </w: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665"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555"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r>
              <w:rPr>
                <w:rFonts w:hint="eastAsia"/>
                <w:sz w:val="18"/>
                <w:szCs w:val="18"/>
                <w:vertAlign w:val="baseline"/>
                <w:lang w:val="en-US" w:eastAsia="zh-CN"/>
              </w:rPr>
              <w:t>=428.65/407.48=106%</w:t>
            </w:r>
          </w:p>
        </w:tc>
        <w:tc>
          <w:tcPr>
            <w:tcW w:w="52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665"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555"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r>
              <w:rPr>
                <w:rFonts w:hint="eastAsia"/>
                <w:sz w:val="18"/>
                <w:szCs w:val="18"/>
                <w:vertAlign w:val="baseline"/>
                <w:lang w:val="en-US" w:eastAsia="zh-CN"/>
              </w:rPr>
              <w:t>76.66/85.08=91%</w:t>
            </w:r>
          </w:p>
        </w:tc>
        <w:tc>
          <w:tcPr>
            <w:tcW w:w="52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政府采购执行率</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665"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100%计满分，每超过（降低）5%扣2分，扣完为止。</w:t>
            </w:r>
          </w:p>
        </w:tc>
        <w:tc>
          <w:tcPr>
            <w:tcW w:w="3555"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宣传制作印刷支出未执行</w:t>
            </w:r>
          </w:p>
        </w:tc>
        <w:tc>
          <w:tcPr>
            <w:tcW w:w="52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管理制度健全性</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w:t>
            </w:r>
          </w:p>
        </w:tc>
        <w:tc>
          <w:tcPr>
            <w:tcW w:w="4665" w:type="dxa"/>
            <w:vAlign w:val="center"/>
          </w:tcPr>
          <w:p>
            <w:pPr>
              <w:jc w:val="both"/>
              <w:rPr>
                <w:rFonts w:hint="eastAsia" w:asciiTheme="minorEastAsia" w:hAnsiTheme="minorEastAsia" w:cstheme="minor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有内部财务管理制度、会计核算制度等管理制度，2分</w:t>
            </w:r>
            <w:r>
              <w:rPr>
                <w:rFonts w:hint="default" w:ascii="Calibri" w:hAnsi="Calibri" w:cs="Calibri"/>
                <w:sz w:val="18"/>
                <w:szCs w:val="18"/>
                <w:vertAlign w:val="baseline"/>
                <w:lang w:val="en-US" w:eastAsia="zh-CN"/>
              </w:rPr>
              <w:t>②</w:t>
            </w:r>
            <w:r>
              <w:rPr>
                <w:rFonts w:hint="eastAsia" w:asciiTheme="minorEastAsia" w:hAnsiTheme="minorEastAsia" w:cstheme="minorEastAsia"/>
                <w:sz w:val="18"/>
                <w:szCs w:val="18"/>
                <w:vertAlign w:val="baseline"/>
                <w:lang w:val="en-US" w:eastAsia="zh-CN"/>
              </w:rPr>
              <w:t>有本部门厉行节约制度，2分</w:t>
            </w:r>
            <w:r>
              <w:rPr>
                <w:rFonts w:hint="default" w:ascii="Calibri" w:hAnsi="Calibri" w:cs="Calibri"/>
                <w:sz w:val="18"/>
                <w:szCs w:val="18"/>
                <w:vertAlign w:val="baseline"/>
                <w:lang w:val="en-US" w:eastAsia="zh-CN"/>
              </w:rPr>
              <w:t>③</w:t>
            </w:r>
            <w:r>
              <w:rPr>
                <w:rFonts w:hint="eastAsia" w:asciiTheme="minorEastAsia" w:hAnsiTheme="minorEastAsia" w:cstheme="minorEastAsia"/>
                <w:sz w:val="18"/>
                <w:szCs w:val="18"/>
                <w:vertAlign w:val="baseline"/>
                <w:lang w:val="en-US" w:eastAsia="zh-CN"/>
              </w:rPr>
              <w:t>相关管理制度合法、合规、完整，2分</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相关管理制度得到有效执行，2分</w:t>
            </w:r>
          </w:p>
        </w:tc>
        <w:tc>
          <w:tcPr>
            <w:tcW w:w="3555" w:type="dxa"/>
            <w:vAlign w:val="center"/>
          </w:tcPr>
          <w:p>
            <w:pPr>
              <w:jc w:val="both"/>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有财务管理、厉行节约等管理制度，但相关管理制度未完全执行</w:t>
            </w:r>
          </w:p>
          <w:p>
            <w:pPr>
              <w:jc w:val="both"/>
              <w:rPr>
                <w:rFonts w:hint="eastAsia"/>
                <w:sz w:val="18"/>
                <w:szCs w:val="18"/>
                <w:vertAlign w:val="baseline"/>
                <w:lang w:eastAsia="zh-CN"/>
              </w:rPr>
            </w:pPr>
          </w:p>
        </w:tc>
        <w:tc>
          <w:tcPr>
            <w:tcW w:w="52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资金使用合规性</w:t>
            </w:r>
          </w:p>
        </w:tc>
        <w:tc>
          <w:tcPr>
            <w:tcW w:w="69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tcPr>
          <w:p>
            <w:pPr>
              <w:jc w:val="both"/>
              <w:rPr>
                <w:rFonts w:hint="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支出符合国家财政法规和财务管理制度规定以及有关专项资金管理办法的规定。</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2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②</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资金拨付有完整的审批程序和手续。</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3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③</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项目支出按规定经过评估论证。</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支出符合部门预算批复的用途。</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5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⑤</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资金使用无截留、挤占、挪用、虚列支出等情况。以上情况每出现一例不符合要求的扣1分，扣完为止。</w:t>
            </w:r>
          </w:p>
        </w:tc>
        <w:tc>
          <w:tcPr>
            <w:tcW w:w="3555" w:type="dxa"/>
          </w:tcPr>
          <w:p>
            <w:pPr>
              <w:jc w:val="both"/>
              <w:rPr>
                <w:rFonts w:hint="default"/>
                <w:sz w:val="18"/>
                <w:szCs w:val="18"/>
                <w:vertAlign w:val="baseline"/>
                <w:lang w:val="en-US" w:eastAsia="zh-CN"/>
              </w:rPr>
            </w:pPr>
            <w:r>
              <w:rPr>
                <w:rFonts w:hint="eastAsia" w:asciiTheme="minorEastAsia" w:hAnsiTheme="minorEastAsia" w:cstheme="minorEastAsia"/>
                <w:sz w:val="18"/>
                <w:szCs w:val="18"/>
                <w:vertAlign w:val="baseline"/>
                <w:lang w:val="en-US" w:eastAsia="zh-CN"/>
              </w:rPr>
              <w:t>村级资金监管不到位，项目建设款直接拨付至村报账员个人账户或拨付给借款人（村报员）</w:t>
            </w:r>
          </w:p>
        </w:tc>
        <w:tc>
          <w:tcPr>
            <w:tcW w:w="520" w:type="dxa"/>
          </w:tcPr>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预决算信息公开性</w:t>
            </w:r>
          </w:p>
        </w:tc>
        <w:tc>
          <w:tcPr>
            <w:tcW w:w="69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tcPr>
          <w:p>
            <w:pPr>
              <w:jc w:val="both"/>
              <w:rPr>
                <w:rFonts w:hint="eastAsia"/>
                <w:sz w:val="18"/>
                <w:szCs w:val="18"/>
                <w:vertAlign w:val="baseline"/>
                <w:lang w:val="en-US" w:eastAsia="zh-CN"/>
              </w:rPr>
            </w:pP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1 \* GB3 \* MERGEFORMAT </w:instrText>
            </w:r>
            <w:r>
              <w:rPr>
                <w:rFonts w:hint="eastAsia"/>
                <w:sz w:val="18"/>
                <w:szCs w:val="18"/>
                <w:vertAlign w:val="baseline"/>
                <w:lang w:val="en-US" w:eastAsia="zh-CN"/>
              </w:rPr>
              <w:fldChar w:fldCharType="separate"/>
            </w:r>
            <w:r>
              <w:rPr>
                <w:sz w:val="18"/>
                <w:szCs w:val="18"/>
              </w:rPr>
              <w:t>①</w:t>
            </w:r>
            <w:r>
              <w:rPr>
                <w:rFonts w:hint="eastAsia"/>
                <w:sz w:val="18"/>
                <w:szCs w:val="18"/>
                <w:vertAlign w:val="baseline"/>
                <w:lang w:val="en-US" w:eastAsia="zh-CN"/>
              </w:rPr>
              <w:fldChar w:fldCharType="end"/>
            </w:r>
            <w:r>
              <w:rPr>
                <w:rFonts w:hint="eastAsia"/>
                <w:sz w:val="18"/>
                <w:szCs w:val="18"/>
                <w:vertAlign w:val="baseline"/>
                <w:lang w:val="en-US" w:eastAsia="zh-CN"/>
              </w:rPr>
              <w:t>按规定内容公开预决算信息，1分。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2 \* GB3 \* MERGEFORMAT </w:instrText>
            </w:r>
            <w:r>
              <w:rPr>
                <w:rFonts w:hint="eastAsia"/>
                <w:sz w:val="18"/>
                <w:szCs w:val="18"/>
                <w:vertAlign w:val="baseline"/>
                <w:lang w:val="en-US" w:eastAsia="zh-CN"/>
              </w:rPr>
              <w:fldChar w:fldCharType="separate"/>
            </w:r>
            <w:r>
              <w:rPr>
                <w:sz w:val="18"/>
                <w:szCs w:val="18"/>
              </w:rPr>
              <w:t>②</w:t>
            </w:r>
            <w:r>
              <w:rPr>
                <w:rFonts w:hint="eastAsia"/>
                <w:sz w:val="18"/>
                <w:szCs w:val="18"/>
                <w:vertAlign w:val="baseline"/>
                <w:lang w:val="en-US" w:eastAsia="zh-CN"/>
              </w:rPr>
              <w:fldChar w:fldCharType="end"/>
            </w:r>
            <w:r>
              <w:rPr>
                <w:rFonts w:hint="eastAsia"/>
                <w:sz w:val="18"/>
                <w:szCs w:val="18"/>
                <w:vertAlign w:val="baseline"/>
                <w:lang w:val="en-US" w:eastAsia="zh-CN"/>
              </w:rPr>
              <w:t>按规定时限公开预决算信息，1分。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3 \* GB3 \* MERGEFORMAT </w:instrText>
            </w:r>
            <w:r>
              <w:rPr>
                <w:rFonts w:hint="eastAsia"/>
                <w:sz w:val="18"/>
                <w:szCs w:val="18"/>
                <w:vertAlign w:val="baseline"/>
                <w:lang w:val="en-US" w:eastAsia="zh-CN"/>
              </w:rPr>
              <w:fldChar w:fldCharType="separate"/>
            </w:r>
            <w:r>
              <w:rPr>
                <w:sz w:val="18"/>
                <w:szCs w:val="18"/>
              </w:rPr>
              <w:t>③</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基础数据信息和会计信息资料真实，1分。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4 \* GB3 \* MERGEFORMAT </w:instrText>
            </w:r>
            <w:r>
              <w:rPr>
                <w:rFonts w:hint="eastAsia"/>
                <w:sz w:val="18"/>
                <w:szCs w:val="18"/>
                <w:vertAlign w:val="baseline"/>
                <w:lang w:val="en-US" w:eastAsia="zh-CN"/>
              </w:rPr>
              <w:fldChar w:fldCharType="separate"/>
            </w:r>
            <w:r>
              <w:rPr>
                <w:sz w:val="18"/>
                <w:szCs w:val="18"/>
              </w:rPr>
              <w:t>④</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基础数据信息和会计信息资料完整，1分。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5 \* GB3 \* MERGEFORMAT </w:instrText>
            </w:r>
            <w:r>
              <w:rPr>
                <w:rFonts w:hint="eastAsia"/>
                <w:sz w:val="18"/>
                <w:szCs w:val="18"/>
                <w:vertAlign w:val="baseline"/>
                <w:lang w:val="en-US" w:eastAsia="zh-CN"/>
              </w:rPr>
              <w:fldChar w:fldCharType="separate"/>
            </w:r>
            <w:r>
              <w:rPr>
                <w:sz w:val="18"/>
                <w:szCs w:val="18"/>
              </w:rPr>
              <w:t>⑤</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基础数据信息和汇集信</w:t>
            </w:r>
            <w:bookmarkStart w:id="0" w:name="_GoBack"/>
            <w:bookmarkEnd w:id="0"/>
            <w:r>
              <w:rPr>
                <w:rFonts w:hint="eastAsia"/>
                <w:sz w:val="18"/>
                <w:szCs w:val="18"/>
                <w:vertAlign w:val="baseline"/>
                <w:lang w:val="en-US" w:eastAsia="zh-CN"/>
              </w:rPr>
              <w:t>息资料准确，1分。</w:t>
            </w:r>
          </w:p>
        </w:tc>
        <w:tc>
          <w:tcPr>
            <w:tcW w:w="3555" w:type="dxa"/>
          </w:tcPr>
          <w:p>
            <w:pPr>
              <w:jc w:val="both"/>
              <w:rPr>
                <w:rFonts w:hint="default"/>
                <w:sz w:val="18"/>
                <w:szCs w:val="18"/>
                <w:vertAlign w:val="baseline"/>
                <w:lang w:val="en-US" w:eastAsia="zh-CN"/>
              </w:rPr>
            </w:pPr>
            <w:r>
              <w:rPr>
                <w:rFonts w:hint="eastAsia"/>
                <w:sz w:val="18"/>
                <w:szCs w:val="18"/>
                <w:vertAlign w:val="baseline"/>
                <w:lang w:val="en-US" w:eastAsia="zh-CN"/>
              </w:rPr>
              <w:t>执行</w:t>
            </w:r>
          </w:p>
        </w:tc>
        <w:tc>
          <w:tcPr>
            <w:tcW w:w="52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产出及效率</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26分</w:t>
            </w:r>
            <w:r>
              <w:rPr>
                <w:rFonts w:hint="eastAsia"/>
                <w:sz w:val="18"/>
                <w:szCs w:val="18"/>
                <w:vertAlign w:val="baseline"/>
                <w:lang w:eastAsia="zh-CN"/>
              </w:rPr>
              <w:t>）</w:t>
            </w:r>
          </w:p>
        </w:tc>
        <w:tc>
          <w:tcPr>
            <w:tcW w:w="121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职责履行</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（6分）</w:t>
            </w:r>
          </w:p>
        </w:tc>
        <w:tc>
          <w:tcPr>
            <w:tcW w:w="1922" w:type="dxa"/>
          </w:tcPr>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重点工作实际完成率</w:t>
            </w:r>
          </w:p>
        </w:tc>
        <w:tc>
          <w:tcPr>
            <w:tcW w:w="69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665" w:type="dxa"/>
          </w:tcPr>
          <w:p>
            <w:pPr>
              <w:jc w:val="both"/>
              <w:rPr>
                <w:rFonts w:hint="eastAsia"/>
                <w:sz w:val="18"/>
                <w:szCs w:val="18"/>
                <w:vertAlign w:val="baseline"/>
                <w:lang w:val="en-US" w:eastAsia="zh-CN"/>
              </w:rPr>
            </w:pPr>
            <w:r>
              <w:rPr>
                <w:rFonts w:hint="eastAsia"/>
                <w:sz w:val="18"/>
                <w:szCs w:val="18"/>
                <w:vertAlign w:val="baseline"/>
                <w:lang w:val="en-US" w:eastAsia="zh-CN"/>
              </w:rPr>
              <w:t>根据2018年部门重点工程与重点工作完成情况打分。该项得分=（实际重点工程量与重点工作完成量与完成数）得满分。</w:t>
            </w:r>
          </w:p>
        </w:tc>
        <w:tc>
          <w:tcPr>
            <w:tcW w:w="3555" w:type="dxa"/>
          </w:tcPr>
          <w:p>
            <w:pPr>
              <w:jc w:val="both"/>
              <w:rPr>
                <w:rFonts w:hint="eastAsia"/>
                <w:sz w:val="18"/>
                <w:szCs w:val="18"/>
                <w:vertAlign w:val="baseline"/>
                <w:lang w:val="en-US" w:eastAsia="zh-CN"/>
              </w:rPr>
            </w:pPr>
            <w:r>
              <w:rPr>
                <w:rFonts w:hint="eastAsia"/>
                <w:sz w:val="18"/>
                <w:szCs w:val="18"/>
                <w:vertAlign w:val="baseline"/>
                <w:lang w:val="en-US" w:eastAsia="zh-CN"/>
              </w:rPr>
              <w:t>基本完成了各项工作目标和任务。</w:t>
            </w:r>
          </w:p>
        </w:tc>
        <w:tc>
          <w:tcPr>
            <w:tcW w:w="52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vAlign w:val="center"/>
          </w:tcPr>
          <w:p>
            <w:pPr>
              <w:jc w:val="center"/>
              <w:rPr>
                <w:rFonts w:hint="eastAsia"/>
                <w:sz w:val="18"/>
                <w:szCs w:val="18"/>
                <w:vertAlign w:val="baseline"/>
                <w:lang w:eastAsia="zh-CN"/>
              </w:rPr>
            </w:pPr>
            <w:r>
              <w:rPr>
                <w:rFonts w:hint="eastAsia"/>
                <w:sz w:val="18"/>
                <w:szCs w:val="18"/>
                <w:vertAlign w:val="baseline"/>
                <w:lang w:eastAsia="zh-CN"/>
              </w:rPr>
              <w:t>履行效益（</w:t>
            </w:r>
            <w:r>
              <w:rPr>
                <w:rFonts w:hint="eastAsia"/>
                <w:sz w:val="18"/>
                <w:szCs w:val="18"/>
                <w:vertAlign w:val="baseline"/>
                <w:lang w:val="en-US" w:eastAsia="zh-CN"/>
              </w:rPr>
              <w:t>20分</w:t>
            </w:r>
            <w:r>
              <w:rPr>
                <w:rFonts w:hint="eastAsia"/>
                <w:sz w:val="18"/>
                <w:szCs w:val="18"/>
                <w:vertAlign w:val="baseline"/>
                <w:lang w:eastAsia="zh-CN"/>
              </w:rPr>
              <w:t>）</w:t>
            </w: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经济效益</w:t>
            </w:r>
          </w:p>
        </w:tc>
        <w:tc>
          <w:tcPr>
            <w:tcW w:w="69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tcPr>
          <w:p>
            <w:pPr>
              <w:jc w:val="both"/>
              <w:rPr>
                <w:rFonts w:hint="eastAsia"/>
                <w:sz w:val="18"/>
                <w:szCs w:val="18"/>
                <w:vertAlign w:val="baseline"/>
                <w:lang w:val="en-US" w:eastAsia="zh-CN"/>
              </w:rPr>
            </w:pPr>
            <w:r>
              <w:rPr>
                <w:rFonts w:hint="eastAsia"/>
                <w:sz w:val="18"/>
                <w:szCs w:val="18"/>
                <w:vertAlign w:val="baseline"/>
                <w:lang w:val="en-US" w:eastAsia="zh-CN"/>
              </w:rPr>
              <w:t>通过投入是否能促进当地的经济发展，农民的生活质量提升，农民的收入提高，新农村建设稳步推进，5分。</w:t>
            </w:r>
          </w:p>
        </w:tc>
        <w:tc>
          <w:tcPr>
            <w:tcW w:w="3555"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通过投入，脱贫攻坚成效显著,已脱贫1429户4739人，贫困发生率降至3.09‰，农业工业齐头并进，镇村面貌焕然一新，村村通、组组通、湾湾门前美化、民生事业亮点纷呈。</w:t>
            </w:r>
          </w:p>
        </w:tc>
        <w:tc>
          <w:tcPr>
            <w:tcW w:w="520" w:type="dxa"/>
            <w:vAlign w:val="center"/>
          </w:tcPr>
          <w:p>
            <w:pPr>
              <w:numPr>
                <w:ilvl w:val="0"/>
                <w:numId w:val="0"/>
              </w:numPr>
              <w:jc w:val="center"/>
              <w:rPr>
                <w:rFonts w:hint="eastAsia"/>
                <w:sz w:val="18"/>
                <w:szCs w:val="18"/>
                <w:vertAlign w:val="baseline"/>
                <w:lang w:val="en-US" w:eastAsia="zh-CN"/>
              </w:rPr>
            </w:pPr>
          </w:p>
          <w:p>
            <w:pPr>
              <w:numPr>
                <w:ilvl w:val="0"/>
                <w:numId w:val="0"/>
              </w:numPr>
              <w:jc w:val="center"/>
              <w:rPr>
                <w:rFonts w:hint="eastAsia"/>
                <w:sz w:val="18"/>
                <w:szCs w:val="18"/>
                <w:vertAlign w:val="baseline"/>
                <w:lang w:val="en-US" w:eastAsia="zh-CN"/>
              </w:rPr>
            </w:pPr>
          </w:p>
          <w:p>
            <w:pPr>
              <w:numPr>
                <w:ilvl w:val="0"/>
                <w:numId w:val="0"/>
              </w:numPr>
              <w:jc w:val="center"/>
              <w:rPr>
                <w:rFonts w:hint="eastAsia"/>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社会效益</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通过投入是否能促进当地社会环境更加和谐、稳定，样本量80%，得5分。</w:t>
            </w:r>
          </w:p>
        </w:tc>
        <w:tc>
          <w:tcPr>
            <w:tcW w:w="3555"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通过投入，脱贫攻坚、惠农政策有效落实，社会治安良好，农村公共安全防控、社会化服务体系逐步完善，农村危房改造和农村改厕作深化推进，民政保障体系进一步健全，社会保障逐步形成“大保障”体系，养老保险、工伤保险、最低生活保障等各类保障政策覆盖面不断扩大。</w:t>
            </w:r>
          </w:p>
        </w:tc>
        <w:tc>
          <w:tcPr>
            <w:tcW w:w="520" w:type="dxa"/>
            <w:vAlign w:val="center"/>
          </w:tcPr>
          <w:p>
            <w:pPr>
              <w:jc w:val="center"/>
              <w:rPr>
                <w:rFonts w:hint="eastAsia"/>
                <w:color w:val="auto"/>
                <w:sz w:val="18"/>
                <w:szCs w:val="18"/>
                <w:highlight w:val="none"/>
                <w:vertAlign w:val="baseline"/>
                <w:lang w:val="en-US" w:eastAsia="zh-CN"/>
              </w:rPr>
            </w:pPr>
          </w:p>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eastAsia="zh-CN"/>
              </w:rPr>
              <w:t>行政效能</w:t>
            </w:r>
          </w:p>
        </w:tc>
        <w:tc>
          <w:tcPr>
            <w:tcW w:w="69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通过经费的投入是否使镇各职能部门的服务更加科学、规范、有效，完善行政职能配置，正常运转，得5分。</w:t>
            </w:r>
          </w:p>
        </w:tc>
        <w:tc>
          <w:tcPr>
            <w:tcW w:w="3555"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本年全镇行政运行平稳，各项工作职能有序开展，完成各项指标，党风政风持续好转。</w:t>
            </w:r>
          </w:p>
        </w:tc>
        <w:tc>
          <w:tcPr>
            <w:tcW w:w="520" w:type="dxa"/>
            <w:vAlign w:val="center"/>
          </w:tcPr>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922" w:type="dxa"/>
            <w:vAlign w:val="center"/>
          </w:tcPr>
          <w:p>
            <w:pPr>
              <w:jc w:val="both"/>
              <w:rPr>
                <w:rFonts w:hint="eastAsia"/>
                <w:sz w:val="18"/>
                <w:szCs w:val="18"/>
                <w:vertAlign w:val="baseline"/>
                <w:lang w:eastAsia="zh-CN"/>
              </w:rPr>
            </w:pPr>
            <w:r>
              <w:rPr>
                <w:rFonts w:hint="eastAsia"/>
                <w:sz w:val="18"/>
                <w:szCs w:val="18"/>
                <w:vertAlign w:val="baseline"/>
                <w:lang w:val="en-US" w:eastAsia="zh-CN"/>
              </w:rPr>
              <w:t>社会公众或服务对象满意度</w:t>
            </w: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665"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90%（含）以上计6分，80%（含）~90%计4分，70%（含）~80%计2分，低于70%计0分。</w:t>
            </w:r>
          </w:p>
        </w:tc>
        <w:tc>
          <w:tcPr>
            <w:tcW w:w="3555"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服务对象满意度86%</w:t>
            </w:r>
          </w:p>
        </w:tc>
        <w:tc>
          <w:tcPr>
            <w:tcW w:w="520" w:type="dxa"/>
            <w:vAlign w:val="top"/>
          </w:tcPr>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4</w:t>
            </w:r>
          </w:p>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2" w:type="dxa"/>
          </w:tcPr>
          <w:p>
            <w:pPr>
              <w:jc w:val="center"/>
              <w:rPr>
                <w:rFonts w:hint="eastAsia"/>
                <w:sz w:val="18"/>
                <w:szCs w:val="18"/>
                <w:vertAlign w:val="baseline"/>
                <w:lang w:eastAsia="zh-CN"/>
              </w:rPr>
            </w:pPr>
            <w:r>
              <w:rPr>
                <w:rFonts w:hint="eastAsia"/>
                <w:sz w:val="18"/>
                <w:szCs w:val="18"/>
                <w:vertAlign w:val="baseline"/>
                <w:lang w:eastAsia="zh-CN"/>
              </w:rPr>
              <w:t>总分</w:t>
            </w:r>
          </w:p>
        </w:tc>
        <w:tc>
          <w:tcPr>
            <w:tcW w:w="1210" w:type="dxa"/>
          </w:tcPr>
          <w:p>
            <w:pPr>
              <w:jc w:val="center"/>
              <w:rPr>
                <w:rFonts w:hint="eastAsia"/>
                <w:sz w:val="18"/>
                <w:szCs w:val="18"/>
                <w:vertAlign w:val="baseline"/>
                <w:lang w:eastAsia="zh-CN"/>
              </w:rPr>
            </w:pPr>
          </w:p>
        </w:tc>
        <w:tc>
          <w:tcPr>
            <w:tcW w:w="1922" w:type="dxa"/>
          </w:tcPr>
          <w:p>
            <w:pPr>
              <w:jc w:val="both"/>
              <w:rPr>
                <w:rFonts w:hint="eastAsia"/>
                <w:sz w:val="18"/>
                <w:szCs w:val="18"/>
                <w:vertAlign w:val="baseline"/>
                <w:lang w:eastAsia="zh-CN"/>
              </w:rPr>
            </w:pPr>
          </w:p>
        </w:tc>
        <w:tc>
          <w:tcPr>
            <w:tcW w:w="69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100</w:t>
            </w:r>
          </w:p>
        </w:tc>
        <w:tc>
          <w:tcPr>
            <w:tcW w:w="4665" w:type="dxa"/>
            <w:vAlign w:val="top"/>
          </w:tcPr>
          <w:p>
            <w:pPr>
              <w:jc w:val="both"/>
              <w:rPr>
                <w:rFonts w:hint="eastAsia"/>
                <w:sz w:val="18"/>
                <w:szCs w:val="18"/>
                <w:vertAlign w:val="baseline"/>
                <w:lang w:val="en-US" w:eastAsia="zh-CN"/>
              </w:rPr>
            </w:pPr>
          </w:p>
        </w:tc>
        <w:tc>
          <w:tcPr>
            <w:tcW w:w="3555" w:type="dxa"/>
            <w:vAlign w:val="top"/>
          </w:tcPr>
          <w:p>
            <w:pPr>
              <w:jc w:val="both"/>
              <w:rPr>
                <w:rFonts w:hint="eastAsia"/>
                <w:sz w:val="18"/>
                <w:szCs w:val="18"/>
                <w:vertAlign w:val="baseline"/>
                <w:lang w:val="en-US" w:eastAsia="zh-CN"/>
              </w:rPr>
            </w:pPr>
          </w:p>
        </w:tc>
        <w:tc>
          <w:tcPr>
            <w:tcW w:w="520" w:type="dxa"/>
            <w:vAlign w:val="top"/>
          </w:tcPr>
          <w:p>
            <w:pPr>
              <w:jc w:val="center"/>
              <w:rPr>
                <w:rFonts w:hint="default"/>
                <w:sz w:val="18"/>
                <w:szCs w:val="18"/>
                <w:vertAlign w:val="baseline"/>
                <w:lang w:val="en-US" w:eastAsia="zh-CN"/>
              </w:rPr>
            </w:pPr>
            <w:r>
              <w:rPr>
                <w:rFonts w:hint="eastAsia"/>
                <w:sz w:val="18"/>
                <w:szCs w:val="18"/>
                <w:vertAlign w:val="baseline"/>
                <w:lang w:val="en-US" w:eastAsia="zh-CN"/>
              </w:rPr>
              <w:t>90</w:t>
            </w:r>
          </w:p>
        </w:tc>
      </w:tr>
    </w:tbl>
    <w:p>
      <w:pPr>
        <w:rPr>
          <w:sz w:val="18"/>
          <w:szCs w:val="18"/>
        </w:rPr>
      </w:pPr>
    </w:p>
    <w:sectPr>
      <w:headerReference r:id="rId3" w:type="default"/>
      <w:footerReference r:id="rId4" w:type="default"/>
      <w:pgSz w:w="16838" w:h="11906" w:orient="landscape"/>
      <w:pgMar w:top="1440" w:right="1440" w:bottom="1440" w:left="1440" w:header="851" w:footer="992" w:gutter="0"/>
      <w:pgNumType w:start="14"/>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C5A4E"/>
    <w:rsid w:val="0100348E"/>
    <w:rsid w:val="012B4489"/>
    <w:rsid w:val="04211CE2"/>
    <w:rsid w:val="08F97C16"/>
    <w:rsid w:val="0A771144"/>
    <w:rsid w:val="0B046653"/>
    <w:rsid w:val="0EED519E"/>
    <w:rsid w:val="15876AE8"/>
    <w:rsid w:val="190430DE"/>
    <w:rsid w:val="19C6341F"/>
    <w:rsid w:val="1B8678DF"/>
    <w:rsid w:val="1EA818E0"/>
    <w:rsid w:val="1FC360D2"/>
    <w:rsid w:val="20411B3A"/>
    <w:rsid w:val="20FE292E"/>
    <w:rsid w:val="24091B2F"/>
    <w:rsid w:val="256F7066"/>
    <w:rsid w:val="26CD3B56"/>
    <w:rsid w:val="28696332"/>
    <w:rsid w:val="2ABB7326"/>
    <w:rsid w:val="2EBA391A"/>
    <w:rsid w:val="311A619D"/>
    <w:rsid w:val="328636A2"/>
    <w:rsid w:val="33396354"/>
    <w:rsid w:val="34F82C59"/>
    <w:rsid w:val="36B34042"/>
    <w:rsid w:val="38EC3A41"/>
    <w:rsid w:val="3AE8758E"/>
    <w:rsid w:val="406D3B0E"/>
    <w:rsid w:val="40BE644D"/>
    <w:rsid w:val="42035181"/>
    <w:rsid w:val="46955D11"/>
    <w:rsid w:val="47762818"/>
    <w:rsid w:val="486838F1"/>
    <w:rsid w:val="4AE255CC"/>
    <w:rsid w:val="52F20768"/>
    <w:rsid w:val="582560D7"/>
    <w:rsid w:val="5BE722A1"/>
    <w:rsid w:val="5DE4686F"/>
    <w:rsid w:val="5F417E9B"/>
    <w:rsid w:val="5F583E95"/>
    <w:rsid w:val="619C6C55"/>
    <w:rsid w:val="66332A30"/>
    <w:rsid w:val="676C5A4E"/>
    <w:rsid w:val="68EA2D5A"/>
    <w:rsid w:val="69882274"/>
    <w:rsid w:val="69A27529"/>
    <w:rsid w:val="6B2A2545"/>
    <w:rsid w:val="72655192"/>
    <w:rsid w:val="754D0BC0"/>
    <w:rsid w:val="7D61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2018-01-11T10:26:00Z</dcterms:created>
  <dc:creator>Administrator</dc:creator>
  <cp:lastModifiedBy>袁会计</cp:lastModifiedBy>
  <cp:lastPrinted>2020-11-20T01:30:47Z</cp:lastPrinted>
  <dcterms:modified xsi:type="dcterms:W3CDTF">2020-11-20T03:23:35Z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