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仿宋" w:cs="Times New Roman"/>
          <w:color w:val="auto"/>
          <w:spacing w:val="28"/>
          <w:sz w:val="36"/>
          <w:szCs w:val="36"/>
        </w:rPr>
      </w:pPr>
      <w:bookmarkStart w:id="3" w:name="_GoBack"/>
      <w:bookmarkStart w:id="0" w:name="_Hlk8504611"/>
    </w:p>
    <w:p>
      <w:pPr>
        <w:jc w:val="center"/>
        <w:rPr>
          <w:rFonts w:ascii="Times New Roman" w:hAnsi="Times New Roman" w:eastAsia="仿宋" w:cs="Times New Roman"/>
          <w:b/>
          <w:bCs/>
          <w:color w:val="auto"/>
          <w:spacing w:val="28"/>
          <w:sz w:val="40"/>
          <w:szCs w:val="40"/>
        </w:rPr>
      </w:pPr>
    </w:p>
    <w:p>
      <w:pPr>
        <w:jc w:val="center"/>
        <w:rPr>
          <w:rFonts w:ascii="Times New Roman" w:hAnsi="Times New Roman" w:eastAsia="仿宋" w:cs="Times New Roman"/>
          <w:b/>
          <w:bCs/>
          <w:color w:val="auto"/>
          <w:spacing w:val="28"/>
          <w:sz w:val="40"/>
          <w:szCs w:val="40"/>
        </w:rPr>
      </w:pPr>
      <w:r>
        <w:rPr>
          <w:rFonts w:ascii="Times New Roman" w:hAnsi="Times New Roman" w:eastAsia="仿宋" w:cs="Times New Roman"/>
          <w:b/>
          <w:bCs/>
          <w:color w:val="auto"/>
          <w:spacing w:val="28"/>
          <w:sz w:val="40"/>
          <w:szCs w:val="40"/>
        </w:rPr>
        <w:t>湖南常宁水口山经济开发区生态环境管2020年度自评估报告</w:t>
      </w:r>
    </w:p>
    <w:p>
      <w:pPr>
        <w:jc w:val="left"/>
        <w:rPr>
          <w:rFonts w:ascii="Times New Roman" w:hAnsi="Times New Roman" w:eastAsia="仿宋" w:cs="Times New Roman"/>
          <w:color w:val="auto"/>
          <w:spacing w:val="28"/>
          <w:sz w:val="36"/>
          <w:szCs w:val="36"/>
        </w:rPr>
      </w:pPr>
    </w:p>
    <w:p>
      <w:pPr>
        <w:spacing w:line="600" w:lineRule="exact"/>
        <w:ind w:firstLine="643" w:firstLineChars="20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一、园区概况</w:t>
      </w:r>
    </w:p>
    <w:p>
      <w:pPr>
        <w:snapToGrid w:val="0"/>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u w:val="single"/>
        </w:rPr>
        <w:t>湖南常宁水口山经济开发区</w:t>
      </w:r>
      <w:r>
        <w:rPr>
          <w:rFonts w:ascii="Times New Roman" w:hAnsi="Times New Roman" w:eastAsia="仿宋" w:cs="Times New Roman"/>
          <w:color w:val="auto"/>
          <w:sz w:val="32"/>
          <w:szCs w:val="32"/>
        </w:rPr>
        <w:t>位于</w:t>
      </w:r>
      <w:r>
        <w:rPr>
          <w:rFonts w:ascii="Times New Roman" w:hAnsi="Times New Roman" w:eastAsia="仿宋" w:cs="Times New Roman"/>
          <w:color w:val="auto"/>
          <w:sz w:val="32"/>
          <w:szCs w:val="32"/>
          <w:u w:val="single"/>
        </w:rPr>
        <w:t>衡阳</w:t>
      </w:r>
      <w:r>
        <w:rPr>
          <w:rFonts w:ascii="Times New Roman" w:hAnsi="Times New Roman" w:eastAsia="仿宋" w:cs="Times New Roman"/>
          <w:color w:val="auto"/>
          <w:sz w:val="32"/>
          <w:szCs w:val="32"/>
        </w:rPr>
        <w:t>市</w:t>
      </w:r>
      <w:r>
        <w:rPr>
          <w:rFonts w:ascii="Times New Roman" w:hAnsi="Times New Roman" w:eastAsia="仿宋" w:cs="Times New Roman"/>
          <w:color w:val="auto"/>
          <w:sz w:val="32"/>
          <w:szCs w:val="32"/>
          <w:u w:val="single"/>
        </w:rPr>
        <w:t>常宁市</w:t>
      </w:r>
      <w:r>
        <w:rPr>
          <w:rFonts w:ascii="Times New Roman" w:hAnsi="Times New Roman" w:eastAsia="仿宋" w:cs="Times New Roman"/>
          <w:color w:val="auto"/>
          <w:sz w:val="32"/>
          <w:szCs w:val="32"/>
        </w:rPr>
        <w:t>区（县），园区代码</w:t>
      </w:r>
      <w:r>
        <w:rPr>
          <w:rFonts w:ascii="Times New Roman" w:hAnsi="Times New Roman" w:eastAsia="仿宋" w:cs="Times New Roman"/>
          <w:color w:val="auto"/>
          <w:sz w:val="32"/>
          <w:szCs w:val="24"/>
          <w:u w:val="single"/>
        </w:rPr>
        <w:t>S437011</w:t>
      </w:r>
      <w:r>
        <w:rPr>
          <w:rFonts w:ascii="Times New Roman" w:hAnsi="Times New Roman" w:eastAsia="仿宋" w:cs="Times New Roman"/>
          <w:color w:val="auto"/>
          <w:sz w:val="32"/>
          <w:szCs w:val="32"/>
        </w:rPr>
        <w:t>，园区级别为</w:t>
      </w:r>
      <w:r>
        <w:rPr>
          <w:rFonts w:ascii="Times New Roman" w:hAnsi="Times New Roman" w:eastAsia="仿宋" w:cs="Times New Roman"/>
          <w:color w:val="auto"/>
          <w:sz w:val="32"/>
          <w:szCs w:val="32"/>
          <w:u w:val="single"/>
        </w:rPr>
        <w:t>省</w:t>
      </w:r>
      <w:r>
        <w:rPr>
          <w:rFonts w:ascii="Times New Roman" w:hAnsi="Times New Roman" w:eastAsia="仿宋" w:cs="Times New Roman"/>
          <w:color w:val="auto"/>
          <w:sz w:val="32"/>
          <w:szCs w:val="32"/>
        </w:rPr>
        <w:t>级工业园区，主导产业</w:t>
      </w:r>
      <w:r>
        <w:rPr>
          <w:rFonts w:ascii="Times New Roman" w:hAnsi="Times New Roman" w:eastAsia="仿宋" w:cs="Times New Roman"/>
          <w:color w:val="auto"/>
          <w:sz w:val="32"/>
          <w:szCs w:val="32"/>
          <w:u w:val="single" w:color="000000" w:themeColor="text1"/>
        </w:rPr>
        <w:t>有</w:t>
      </w:r>
      <w:r>
        <w:rPr>
          <w:rFonts w:ascii="Times New Roman" w:hAnsi="Times New Roman" w:eastAsia="仿宋" w:cs="Times New Roman"/>
          <w:color w:val="auto"/>
          <w:sz w:val="32"/>
          <w:szCs w:val="32"/>
          <w:u w:val="single"/>
        </w:rPr>
        <w:t>色金属冶炼与深加工产业（水口山工业园）和机械制造、电子信息、农产业加工（宜阳工业园）</w:t>
      </w:r>
      <w:r>
        <w:rPr>
          <w:rFonts w:ascii="Times New Roman" w:hAnsi="Times New Roman" w:eastAsia="仿宋" w:cs="Times New Roman"/>
          <w:color w:val="auto"/>
          <w:sz w:val="32"/>
          <w:szCs w:val="32"/>
        </w:rPr>
        <w:t>，核准范围面积</w:t>
      </w:r>
      <w:r>
        <w:rPr>
          <w:rFonts w:ascii="Times New Roman" w:hAnsi="Times New Roman" w:eastAsia="仿宋" w:cs="Times New Roman"/>
          <w:color w:val="auto"/>
          <w:sz w:val="32"/>
          <w:szCs w:val="32"/>
          <w:u w:val="single"/>
        </w:rPr>
        <w:t>8</w:t>
      </w:r>
      <w:r>
        <w:rPr>
          <w:rFonts w:hint="eastAsia" w:ascii="Times New Roman" w:hAnsi="Times New Roman" w:eastAsia="仿宋" w:cs="Times New Roman"/>
          <w:color w:val="auto"/>
          <w:sz w:val="32"/>
          <w:szCs w:val="32"/>
          <w:u w:val="single"/>
          <w:lang w:val="en-US" w:eastAsia="zh-CN"/>
        </w:rPr>
        <w:t>.</w:t>
      </w:r>
      <w:r>
        <w:rPr>
          <w:rFonts w:ascii="Times New Roman" w:hAnsi="Times New Roman" w:eastAsia="仿宋" w:cs="Times New Roman"/>
          <w:color w:val="auto"/>
          <w:sz w:val="32"/>
          <w:szCs w:val="32"/>
          <w:u w:val="single"/>
        </w:rPr>
        <w:t>7958（其中水口山工业园7</w:t>
      </w:r>
      <w:r>
        <w:rPr>
          <w:rFonts w:hint="eastAsia" w:ascii="Times New Roman" w:hAnsi="Times New Roman" w:eastAsia="仿宋" w:cs="Times New Roman"/>
          <w:color w:val="auto"/>
          <w:sz w:val="32"/>
          <w:szCs w:val="32"/>
          <w:u w:val="single"/>
          <w:lang w:val="en-US" w:eastAsia="zh-CN"/>
        </w:rPr>
        <w:t>.</w:t>
      </w:r>
      <w:r>
        <w:rPr>
          <w:rFonts w:ascii="Times New Roman" w:hAnsi="Times New Roman" w:eastAsia="仿宋" w:cs="Times New Roman"/>
          <w:color w:val="auto"/>
          <w:sz w:val="32"/>
          <w:szCs w:val="32"/>
          <w:u w:val="single"/>
        </w:rPr>
        <w:t>0015，宜阳工业园1</w:t>
      </w:r>
      <w:r>
        <w:rPr>
          <w:rFonts w:hint="eastAsia" w:ascii="Times New Roman" w:hAnsi="Times New Roman" w:eastAsia="仿宋" w:cs="Times New Roman"/>
          <w:color w:val="auto"/>
          <w:sz w:val="32"/>
          <w:szCs w:val="32"/>
          <w:u w:val="single"/>
          <w:lang w:val="en-US" w:eastAsia="zh-CN"/>
        </w:rPr>
        <w:t>.</w:t>
      </w:r>
      <w:r>
        <w:rPr>
          <w:rFonts w:ascii="Times New Roman" w:hAnsi="Times New Roman" w:eastAsia="仿宋" w:cs="Times New Roman"/>
          <w:color w:val="auto"/>
          <w:sz w:val="32"/>
          <w:szCs w:val="32"/>
          <w:u w:val="single"/>
        </w:rPr>
        <w:t>7943）</w:t>
      </w:r>
      <w:r>
        <w:rPr>
          <w:rFonts w:ascii="Times New Roman" w:hAnsi="Times New Roman" w:eastAsia="仿宋" w:cs="Times New Roman"/>
          <w:color w:val="auto"/>
          <w:sz w:val="32"/>
          <w:szCs w:val="32"/>
        </w:rPr>
        <w:t>km</w:t>
      </w:r>
      <w:r>
        <w:rPr>
          <w:rFonts w:ascii="Times New Roman" w:hAnsi="Times New Roman" w:eastAsia="仿宋" w:cs="Times New Roman"/>
          <w:color w:val="auto"/>
          <w:sz w:val="32"/>
          <w:szCs w:val="32"/>
          <w:vertAlign w:val="superscript"/>
        </w:rPr>
        <w:t>2</w:t>
      </w:r>
      <w:r>
        <w:rPr>
          <w:rFonts w:ascii="Times New Roman" w:hAnsi="Times New Roman" w:eastAsia="仿宋" w:cs="Times New Roman"/>
          <w:color w:val="auto"/>
          <w:sz w:val="32"/>
          <w:szCs w:val="32"/>
        </w:rPr>
        <w:t>，园区规划环评批复（含调扩区、跟踪评价）情况</w:t>
      </w:r>
      <w:r>
        <w:rPr>
          <w:rFonts w:ascii="Times New Roman" w:hAnsi="Times New Roman" w:eastAsia="仿宋" w:cs="Times New Roman"/>
          <w:color w:val="auto"/>
          <w:sz w:val="32"/>
          <w:szCs w:val="32"/>
          <w:u w:val="single"/>
        </w:rPr>
        <w:t>已审批</w:t>
      </w:r>
      <w:r>
        <w:rPr>
          <w:rFonts w:ascii="Times New Roman" w:hAnsi="Times New Roman" w:eastAsia="仿宋" w:cs="Times New Roman"/>
          <w:color w:val="auto"/>
          <w:sz w:val="32"/>
          <w:szCs w:val="32"/>
        </w:rPr>
        <w:t>，批复文号</w:t>
      </w:r>
      <w:r>
        <w:rPr>
          <w:rFonts w:ascii="Times New Roman" w:hAnsi="Times New Roman" w:eastAsia="仿宋" w:cs="Times New Roman"/>
          <w:color w:val="auto"/>
          <w:sz w:val="32"/>
          <w:szCs w:val="32"/>
          <w:u w:val="single"/>
        </w:rPr>
        <w:t>湘环评函﹝2017﹞29号</w:t>
      </w:r>
      <w:r>
        <w:rPr>
          <w:rFonts w:ascii="Times New Roman" w:hAnsi="Times New Roman" w:eastAsia="仿宋" w:cs="Times New Roman"/>
          <w:color w:val="auto"/>
          <w:sz w:val="32"/>
          <w:szCs w:val="32"/>
        </w:rPr>
        <w:t>。</w:t>
      </w:r>
    </w:p>
    <w:p>
      <w:pPr>
        <w:pStyle w:val="8"/>
        <w:snapToGrid w:val="0"/>
        <w:spacing w:after="0" w:line="600" w:lineRule="exact"/>
        <w:ind w:left="0" w:leftChars="0" w:firstLine="640"/>
        <w:rPr>
          <w:rFonts w:ascii="Times New Roman" w:hAnsi="Times New Roman" w:eastAsia="仿宋"/>
          <w:color w:val="auto"/>
          <w:szCs w:val="32"/>
          <w:u w:val="single"/>
        </w:rPr>
      </w:pPr>
      <w:r>
        <w:rPr>
          <w:rFonts w:ascii="Times New Roman" w:hAnsi="Times New Roman" w:eastAsia="仿宋"/>
          <w:color w:val="auto"/>
          <w:szCs w:val="32"/>
        </w:rPr>
        <w:t>园区经济发展概况：</w:t>
      </w:r>
      <w:r>
        <w:rPr>
          <w:rFonts w:ascii="Times New Roman" w:hAnsi="Times New Roman" w:eastAsia="仿宋"/>
          <w:color w:val="auto"/>
          <w:szCs w:val="32"/>
          <w:u w:val="single"/>
        </w:rPr>
        <w:t>水口山经济开发区为湖南省重点开发区、湖南省发展战略重点“一点一线”中心地带</w:t>
      </w:r>
      <w:bookmarkStart w:id="1" w:name="ref_[1]_10620906"/>
      <w:r>
        <w:rPr>
          <w:rFonts w:ascii="Times New Roman" w:hAnsi="Times New Roman" w:eastAsia="仿宋"/>
          <w:color w:val="auto"/>
          <w:szCs w:val="32"/>
          <w:u w:val="single"/>
        </w:rPr>
        <w:t>、</w:t>
      </w:r>
      <w:r>
        <w:rPr>
          <w:rFonts w:ascii="Times New Roman" w:hAnsi="Times New Roman" w:eastAsia="仿宋"/>
          <w:color w:val="auto"/>
          <w:szCs w:val="32"/>
          <w:u w:val="single"/>
        </w:rPr>
        <w:fldChar w:fldCharType="begin"/>
      </w:r>
      <w:r>
        <w:rPr>
          <w:rFonts w:ascii="Times New Roman" w:hAnsi="Times New Roman" w:eastAsia="仿宋"/>
          <w:color w:val="auto"/>
          <w:szCs w:val="32"/>
          <w:u w:val="single"/>
        </w:rPr>
        <w:instrText xml:space="preserve"> HYPERLINK "https://baike.baidu.com/item/%E6%B9%98%E5%8D%97%E6%89%BF%E6%8E%A5%E4%BA%A7%E4%B8%9A%E8%BD%AC%E7%A7%BB%E7%A4%BA%E8%8C%83%E5%8C%BA" \t "https://baike.baidu.com/item/%E6%B0%B4%E5%8F%A3%E5%B1%B1%E7%BB%8F%E6%B5%8E%E5%BC%80%E5%8F%91%E5%8C%BA/_blank" </w:instrText>
      </w:r>
      <w:r>
        <w:rPr>
          <w:rFonts w:ascii="Times New Roman" w:hAnsi="Times New Roman" w:eastAsia="仿宋"/>
          <w:color w:val="auto"/>
          <w:szCs w:val="32"/>
          <w:u w:val="single"/>
        </w:rPr>
        <w:fldChar w:fldCharType="separate"/>
      </w:r>
      <w:r>
        <w:rPr>
          <w:rFonts w:ascii="Times New Roman" w:hAnsi="Times New Roman" w:eastAsia="仿宋"/>
          <w:color w:val="auto"/>
          <w:szCs w:val="32"/>
          <w:u w:val="single"/>
        </w:rPr>
        <w:t>湘南承接产业转移示范区</w:t>
      </w:r>
      <w:r>
        <w:rPr>
          <w:rFonts w:ascii="Times New Roman" w:hAnsi="Times New Roman" w:eastAsia="仿宋"/>
          <w:color w:val="auto"/>
          <w:szCs w:val="32"/>
          <w:u w:val="single"/>
        </w:rPr>
        <w:fldChar w:fldCharType="end"/>
      </w:r>
      <w:r>
        <w:rPr>
          <w:rFonts w:ascii="Times New Roman" w:hAnsi="Times New Roman" w:eastAsia="仿宋"/>
          <w:color w:val="auto"/>
          <w:szCs w:val="32"/>
          <w:u w:val="single"/>
        </w:rPr>
        <w:t>主要承载地、国家级循环化改造示范试点园区 、全省唯一的有色金属化工园区 </w:t>
      </w:r>
      <w:bookmarkEnd w:id="1"/>
      <w:r>
        <w:rPr>
          <w:rFonts w:ascii="Times New Roman" w:hAnsi="Times New Roman" w:eastAsia="仿宋"/>
          <w:color w:val="auto"/>
          <w:szCs w:val="32"/>
          <w:u w:val="single"/>
        </w:rPr>
        <w:t> ，1994年3月经省政批准为省级开发区（湖南首批28个省级开发区之一</w:t>
      </w:r>
      <w:bookmarkStart w:id="2" w:name="ref_[2]_10620906"/>
      <w:r>
        <w:rPr>
          <w:rFonts w:ascii="Times New Roman" w:hAnsi="Times New Roman" w:eastAsia="仿宋"/>
          <w:color w:val="auto"/>
          <w:szCs w:val="32"/>
          <w:u w:val="single"/>
        </w:rPr>
        <w:t> </w:t>
      </w:r>
      <w:bookmarkEnd w:id="2"/>
      <w:r>
        <w:rPr>
          <w:rFonts w:ascii="Times New Roman" w:hAnsi="Times New Roman" w:eastAsia="仿宋"/>
          <w:color w:val="auto"/>
          <w:szCs w:val="32"/>
          <w:u w:val="single"/>
        </w:rPr>
        <w:t> ），2006年9月经国家发改委公告保留为省级开发区。</w:t>
      </w:r>
    </w:p>
    <w:p>
      <w:pPr>
        <w:pStyle w:val="8"/>
        <w:snapToGrid w:val="0"/>
        <w:spacing w:after="0" w:line="600" w:lineRule="exact"/>
        <w:ind w:left="0" w:leftChars="0" w:firstLine="640"/>
        <w:rPr>
          <w:rFonts w:ascii="Times New Roman" w:hAnsi="Times New Roman" w:eastAsia="仿宋"/>
          <w:color w:val="auto"/>
          <w:sz w:val="21"/>
          <w:szCs w:val="21"/>
          <w:u w:val="single"/>
          <w:shd w:val="clear" w:color="auto" w:fill="FFFFFF"/>
        </w:rPr>
      </w:pPr>
      <w:r>
        <w:rPr>
          <w:rFonts w:hint="eastAsia" w:ascii="Times New Roman" w:hAnsi="Times New Roman" w:eastAsia="仿宋"/>
          <w:color w:val="auto"/>
          <w:szCs w:val="32"/>
          <w:u w:val="single"/>
        </w:rPr>
        <w:t>2020年园区技工贸总收入330亿元，同比增长16.47%；工业总产值324亿元，同比增长16.07%；完成税收7.5亿元，同比增长24.62%；完成固定资产投资48.9亿元，完成招商引资25.6亿元。</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截止到年底，园区已入园企业数量</w:t>
      </w:r>
      <w:r>
        <w:rPr>
          <w:rFonts w:hint="eastAsia" w:ascii="Times New Roman" w:hAnsi="Times New Roman" w:eastAsia="仿宋"/>
          <w:color w:val="auto"/>
          <w:szCs w:val="32"/>
          <w:u w:val="single" w:color="000000" w:themeColor="text1"/>
          <w:lang w:val="en-US" w:eastAsia="zh-CN"/>
        </w:rPr>
        <w:t>42</w:t>
      </w:r>
      <w:r>
        <w:rPr>
          <w:rFonts w:ascii="Times New Roman" w:hAnsi="Times New Roman" w:eastAsia="仿宋"/>
          <w:color w:val="auto"/>
          <w:szCs w:val="32"/>
        </w:rPr>
        <w:t>个，其中，上一年度末已入园企业数量</w:t>
      </w:r>
      <w:r>
        <w:rPr>
          <w:rFonts w:ascii="Times New Roman" w:hAnsi="Times New Roman" w:eastAsia="仿宋"/>
          <w:color w:val="auto"/>
          <w:szCs w:val="32"/>
          <w:u w:val="single"/>
        </w:rPr>
        <w:t>0</w:t>
      </w:r>
      <w:r>
        <w:rPr>
          <w:rFonts w:ascii="Times New Roman" w:hAnsi="Times New Roman" w:eastAsia="仿宋"/>
          <w:color w:val="auto"/>
          <w:szCs w:val="32"/>
        </w:rPr>
        <w:t>个，本年度内新入园企业数量</w:t>
      </w:r>
      <w:r>
        <w:rPr>
          <w:rFonts w:ascii="Times New Roman" w:hAnsi="Times New Roman" w:eastAsia="仿宋"/>
          <w:color w:val="auto"/>
          <w:szCs w:val="32"/>
          <w:u w:val="single"/>
        </w:rPr>
        <w:t xml:space="preserve">     </w:t>
      </w:r>
      <w:r>
        <w:rPr>
          <w:rFonts w:ascii="Times New Roman" w:hAnsi="Times New Roman" w:eastAsia="仿宋"/>
          <w:color w:val="auto"/>
          <w:szCs w:val="32"/>
        </w:rPr>
        <w:t>个，本年度清退企业数量</w:t>
      </w:r>
      <w:r>
        <w:rPr>
          <w:rFonts w:ascii="Times New Roman" w:hAnsi="Times New Roman" w:eastAsia="仿宋"/>
          <w:color w:val="auto"/>
          <w:szCs w:val="32"/>
          <w:u w:val="single"/>
        </w:rPr>
        <w:t>0</w:t>
      </w:r>
      <w:r>
        <w:rPr>
          <w:rFonts w:ascii="Times New Roman" w:hAnsi="Times New Roman" w:eastAsia="仿宋"/>
          <w:color w:val="auto"/>
          <w:szCs w:val="32"/>
        </w:rPr>
        <w:t>个。园区内已完成环评批复手续企业数量</w:t>
      </w:r>
      <w:r>
        <w:rPr>
          <w:rFonts w:hint="eastAsia" w:ascii="Times New Roman" w:hAnsi="Times New Roman" w:eastAsia="仿宋"/>
          <w:color w:val="auto"/>
          <w:szCs w:val="32"/>
          <w:u w:val="single" w:color="000000" w:themeColor="text1"/>
          <w:lang w:val="en-US" w:eastAsia="zh-CN"/>
        </w:rPr>
        <w:t>23</w:t>
      </w:r>
      <w:r>
        <w:rPr>
          <w:rFonts w:ascii="Times New Roman" w:hAnsi="Times New Roman" w:eastAsia="仿宋"/>
          <w:color w:val="auto"/>
          <w:szCs w:val="32"/>
        </w:rPr>
        <w:t>个，本年度新增项目环评批复</w:t>
      </w:r>
      <w:r>
        <w:rPr>
          <w:rFonts w:ascii="Times New Roman" w:hAnsi="Times New Roman" w:eastAsia="仿宋"/>
          <w:color w:val="auto"/>
          <w:szCs w:val="32"/>
          <w:u w:val="single" w:color="000000" w:themeColor="text1"/>
        </w:rPr>
        <w:t>0</w:t>
      </w:r>
      <w:r>
        <w:rPr>
          <w:rFonts w:ascii="Times New Roman" w:hAnsi="Times New Roman" w:eastAsia="仿宋"/>
          <w:color w:val="auto"/>
          <w:szCs w:val="32"/>
        </w:rPr>
        <w:t>个，无环评批复的企业有</w:t>
      </w:r>
      <w:r>
        <w:rPr>
          <w:rFonts w:ascii="Times New Roman" w:hAnsi="Times New Roman" w:eastAsia="仿宋"/>
          <w:color w:val="auto"/>
          <w:szCs w:val="32"/>
          <w:u w:val="single"/>
        </w:rPr>
        <w:t>0</w:t>
      </w:r>
      <w:r>
        <w:rPr>
          <w:rFonts w:ascii="Times New Roman" w:hAnsi="Times New Roman" w:eastAsia="仿宋"/>
          <w:color w:val="auto"/>
          <w:szCs w:val="32"/>
        </w:rPr>
        <w:t>家。园区内已完成环保竣工验收手续企业数量</w:t>
      </w:r>
      <w:r>
        <w:rPr>
          <w:rFonts w:hint="eastAsia" w:ascii="Times New Roman" w:hAnsi="Times New Roman" w:eastAsia="仿宋"/>
          <w:color w:val="auto"/>
          <w:szCs w:val="32"/>
          <w:u w:val="single"/>
          <w:lang w:val="en-US" w:eastAsia="zh-CN"/>
        </w:rPr>
        <w:t>17</w:t>
      </w:r>
      <w:r>
        <w:rPr>
          <w:rFonts w:ascii="Times New Roman" w:hAnsi="Times New Roman" w:eastAsia="仿宋"/>
          <w:color w:val="auto"/>
          <w:szCs w:val="32"/>
        </w:rPr>
        <w:t>个，本年度新增环保竣工验收企业数量</w:t>
      </w:r>
      <w:r>
        <w:rPr>
          <w:rFonts w:ascii="Times New Roman" w:hAnsi="Times New Roman" w:eastAsia="仿宋"/>
          <w:color w:val="auto"/>
          <w:szCs w:val="32"/>
          <w:u w:val="single" w:color="000000" w:themeColor="text1"/>
        </w:rPr>
        <w:t>0</w:t>
      </w:r>
      <w:r>
        <w:rPr>
          <w:rFonts w:ascii="Times New Roman" w:hAnsi="Times New Roman" w:eastAsia="仿宋"/>
          <w:color w:val="auto"/>
          <w:szCs w:val="32"/>
        </w:rPr>
        <w:t>个，未完成验收的有</w:t>
      </w:r>
      <w:r>
        <w:rPr>
          <w:rFonts w:hint="eastAsia" w:ascii="Times New Roman" w:hAnsi="Times New Roman" w:eastAsia="仿宋"/>
          <w:color w:val="auto"/>
          <w:szCs w:val="32"/>
          <w:u w:val="single"/>
          <w:lang w:val="en-US" w:eastAsia="zh-CN"/>
        </w:rPr>
        <w:t>25</w:t>
      </w:r>
      <w:r>
        <w:rPr>
          <w:rFonts w:ascii="Times New Roman" w:hAnsi="Times New Roman" w:eastAsia="仿宋"/>
          <w:color w:val="auto"/>
          <w:szCs w:val="32"/>
          <w:u w:val="single"/>
        </w:rPr>
        <w:t>家</w:t>
      </w:r>
      <w:r>
        <w:rPr>
          <w:rFonts w:ascii="Times New Roman" w:hAnsi="Times New Roman" w:eastAsia="仿宋"/>
          <w:color w:val="auto"/>
          <w:szCs w:val="32"/>
        </w:rPr>
        <w:t>。园区内已完成应急预案备案手续企业数量</w:t>
      </w:r>
      <w:r>
        <w:rPr>
          <w:rFonts w:hint="eastAsia" w:ascii="Times New Roman" w:hAnsi="Times New Roman" w:eastAsia="仿宋"/>
          <w:color w:val="auto"/>
          <w:szCs w:val="32"/>
          <w:u w:val="single" w:color="000000" w:themeColor="text1"/>
          <w:lang w:val="en-US" w:eastAsia="zh-CN"/>
        </w:rPr>
        <w:t>13</w:t>
      </w:r>
      <w:r>
        <w:rPr>
          <w:rFonts w:ascii="Times New Roman" w:hAnsi="Times New Roman" w:eastAsia="仿宋"/>
          <w:color w:val="auto"/>
          <w:szCs w:val="32"/>
        </w:rPr>
        <w:t>个，未完成应急预案备案的企业有</w:t>
      </w:r>
      <w:r>
        <w:rPr>
          <w:rFonts w:hint="eastAsia" w:ascii="Times New Roman" w:hAnsi="Times New Roman" w:eastAsia="仿宋"/>
          <w:color w:val="auto"/>
          <w:szCs w:val="32"/>
          <w:u w:val="single"/>
          <w:lang w:val="en-US" w:eastAsia="zh-CN"/>
        </w:rPr>
        <w:t>29</w:t>
      </w:r>
      <w:r>
        <w:rPr>
          <w:rFonts w:ascii="Times New Roman" w:hAnsi="Times New Roman" w:eastAsia="仿宋"/>
          <w:color w:val="auto"/>
          <w:szCs w:val="32"/>
        </w:rPr>
        <w:t>个。园区内已取得排污许可证企业数量</w:t>
      </w:r>
      <w:r>
        <w:rPr>
          <w:rFonts w:hint="eastAsia" w:ascii="Times New Roman" w:hAnsi="Times New Roman" w:eastAsia="仿宋"/>
          <w:color w:val="auto"/>
          <w:szCs w:val="32"/>
          <w:u w:val="single" w:color="000000" w:themeColor="text1"/>
          <w:lang w:val="en-US" w:eastAsia="zh-CN"/>
        </w:rPr>
        <w:t>13</w:t>
      </w:r>
      <w:r>
        <w:rPr>
          <w:rFonts w:ascii="Times New Roman" w:hAnsi="Times New Roman" w:eastAsia="仿宋"/>
          <w:color w:val="auto"/>
          <w:szCs w:val="32"/>
        </w:rPr>
        <w:t>个，是否存在未取得排污许可证企业的情况，</w:t>
      </w:r>
      <w:r>
        <w:rPr>
          <w:rFonts w:ascii="Times New Roman" w:hAnsi="Times New Roman" w:eastAsia="仿宋"/>
          <w:color w:val="auto"/>
          <w:szCs w:val="32"/>
          <w:u w:val="single" w:color="000000" w:themeColor="text1"/>
        </w:rPr>
        <w:t>是</w:t>
      </w:r>
      <w:r>
        <w:rPr>
          <w:rFonts w:ascii="Times New Roman" w:hAnsi="Times New Roman" w:eastAsia="仿宋"/>
          <w:color w:val="auto"/>
          <w:szCs w:val="32"/>
        </w:rPr>
        <w:t>。</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园区主要污染物总量控制指标：化学需氧量</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593.47</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t/a，氨氮</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125.21</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t/a，二氧化硫</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899.89</w:t>
      </w:r>
      <w:r>
        <w:rPr>
          <w:rFonts w:ascii="Times New Roman" w:hAnsi="Times New Roman" w:eastAsia="仿宋"/>
          <w:color w:val="auto"/>
          <w:szCs w:val="32"/>
          <w:u w:val="single" w:color="000000" w:themeColor="text1"/>
        </w:rPr>
        <w:t xml:space="preserve">7 </w:t>
      </w:r>
      <w:r>
        <w:rPr>
          <w:rFonts w:ascii="Times New Roman" w:hAnsi="Times New Roman" w:eastAsia="仿宋"/>
          <w:color w:val="auto"/>
          <w:szCs w:val="32"/>
        </w:rPr>
        <w:t>t/a，氮氧化物</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358.62</w:t>
      </w:r>
      <w:r>
        <w:rPr>
          <w:rFonts w:ascii="Times New Roman" w:hAnsi="Times New Roman" w:eastAsia="仿宋"/>
          <w:color w:val="auto"/>
          <w:szCs w:val="32"/>
          <w:u w:val="single" w:color="000000" w:themeColor="text1"/>
        </w:rPr>
        <w:t xml:space="preserve">4 </w:t>
      </w:r>
      <w:r>
        <w:rPr>
          <w:rFonts w:ascii="Times New Roman" w:hAnsi="Times New Roman" w:eastAsia="仿宋"/>
          <w:color w:val="auto"/>
          <w:szCs w:val="32"/>
        </w:rPr>
        <w:t>t/a，VOCs</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rPr>
        <w:t xml:space="preserve">/ </w:t>
      </w:r>
      <w:r>
        <w:rPr>
          <w:rFonts w:ascii="Times New Roman" w:hAnsi="Times New Roman" w:eastAsia="仿宋"/>
          <w:color w:val="auto"/>
          <w:szCs w:val="32"/>
        </w:rPr>
        <w:t>t/a，铅及其化合物</w:t>
      </w:r>
      <w:r>
        <w:rPr>
          <w:rFonts w:ascii="Times New Roman" w:hAnsi="Times New Roman" w:eastAsia="仿宋"/>
          <w:color w:val="auto"/>
          <w:szCs w:val="32"/>
          <w:u w:val="single" w:color="000000" w:themeColor="text1"/>
        </w:rPr>
        <w:t xml:space="preserve"> 4.</w:t>
      </w:r>
      <w:r>
        <w:rPr>
          <w:rFonts w:hint="eastAsia" w:ascii="Times New Roman" w:hAnsi="Times New Roman" w:eastAsia="仿宋"/>
          <w:color w:val="auto"/>
          <w:szCs w:val="32"/>
          <w:u w:val="single" w:color="000000" w:themeColor="text1"/>
          <w:lang w:val="en-US" w:eastAsia="zh-CN"/>
        </w:rPr>
        <w:t>79</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t/a，汞及其化合物</w:t>
      </w:r>
      <w:r>
        <w:rPr>
          <w:rFonts w:ascii="Times New Roman" w:hAnsi="Times New Roman" w:eastAsia="仿宋"/>
          <w:color w:val="auto"/>
          <w:szCs w:val="32"/>
          <w:u w:val="single" w:color="000000" w:themeColor="text1"/>
        </w:rPr>
        <w:t xml:space="preserve"> 0.01 </w:t>
      </w:r>
      <w:r>
        <w:rPr>
          <w:rFonts w:ascii="Times New Roman" w:hAnsi="Times New Roman" w:eastAsia="仿宋"/>
          <w:color w:val="auto"/>
          <w:szCs w:val="32"/>
        </w:rPr>
        <w:t>t/a，颗粒物</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163.35</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w:t>
      </w:r>
    </w:p>
    <w:p>
      <w:pPr>
        <w:spacing w:line="600" w:lineRule="exact"/>
        <w:ind w:firstLine="643" w:firstLineChars="20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二、环境管理情况</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（一）规划环评批复要求落实情况</w:t>
      </w:r>
    </w:p>
    <w:p>
      <w:pPr>
        <w:pStyle w:val="8"/>
        <w:snapToGrid w:val="0"/>
        <w:spacing w:after="0" w:line="600" w:lineRule="exact"/>
        <w:ind w:left="0" w:leftChars="0" w:firstLine="0" w:firstLineChars="0"/>
        <w:jc w:val="center"/>
        <w:rPr>
          <w:rFonts w:ascii="Times New Roman" w:hAnsi="Times New Roman" w:eastAsia="仿宋"/>
          <w:color w:val="auto"/>
          <w:sz w:val="24"/>
          <w:szCs w:val="24"/>
        </w:rPr>
      </w:pPr>
      <w:r>
        <w:rPr>
          <w:rFonts w:ascii="Times New Roman" w:hAnsi="Times New Roman" w:eastAsia="仿宋"/>
          <w:color w:val="auto"/>
          <w:sz w:val="24"/>
          <w:szCs w:val="24"/>
        </w:rPr>
        <w:t>表1  环评批复要求落实情况</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44"/>
        <w:gridCol w:w="2956"/>
        <w:gridCol w:w="1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序号</w:t>
            </w:r>
          </w:p>
        </w:tc>
        <w:tc>
          <w:tcPr>
            <w:tcW w:w="354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snapToGrid w:val="0"/>
                <w:color w:val="auto"/>
                <w:kern w:val="0"/>
                <w:sz w:val="21"/>
                <w:szCs w:val="21"/>
              </w:rPr>
              <w:t>环评批复要求</w:t>
            </w:r>
          </w:p>
        </w:tc>
        <w:tc>
          <w:tcPr>
            <w:tcW w:w="2956"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snapToGrid w:val="0"/>
                <w:color w:val="auto"/>
                <w:kern w:val="0"/>
                <w:sz w:val="21"/>
                <w:szCs w:val="21"/>
              </w:rPr>
              <w:t>实际情况</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snapToGrid w:val="0"/>
                <w:color w:val="auto"/>
                <w:kern w:val="0"/>
                <w:sz w:val="21"/>
                <w:szCs w:val="21"/>
              </w:rPr>
              <w:t>是否落实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w:t>
            </w:r>
          </w:p>
        </w:tc>
        <w:tc>
          <w:tcPr>
            <w:tcW w:w="3544"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严格按照经环评优化的功能区划进行开发建设，落实生态隔离带的建设和控规要求，按园区管委会提出的《水口山工业园区区域环境整治方案</w:t>
            </w:r>
            <w:r>
              <w:rPr>
                <w:rStyle w:val="22"/>
                <w:rFonts w:eastAsia="仿宋"/>
                <w:color w:val="auto"/>
              </w:rPr>
              <w:t>)</w:t>
            </w:r>
            <w:r>
              <w:rPr>
                <w:rStyle w:val="21"/>
                <w:rFonts w:ascii="Times New Roman" w:hAnsi="Times New Roman" w:cs="Times New Roman"/>
                <w:color w:val="auto"/>
              </w:rPr>
              <w:t>》，在园区规划的三类工业用地外围设置</w:t>
            </w:r>
            <w:r>
              <w:rPr>
                <w:rStyle w:val="22"/>
                <w:rFonts w:eastAsia="仿宋"/>
                <w:color w:val="auto"/>
              </w:rPr>
              <w:t>1km</w:t>
            </w:r>
            <w:r>
              <w:rPr>
                <w:rStyle w:val="21"/>
                <w:rFonts w:ascii="Times New Roman" w:hAnsi="Times New Roman" w:cs="Times New Roman"/>
                <w:color w:val="auto"/>
              </w:rPr>
              <w:t>的规划控制距离，其内不得新增建设学校、医院、居民住宅等环境敏感型建构筑物</w:t>
            </w:r>
            <w:r>
              <w:rPr>
                <w:rStyle w:val="22"/>
                <w:rFonts w:eastAsia="仿宋"/>
                <w:color w:val="auto"/>
              </w:rPr>
              <w:t>;</w:t>
            </w:r>
            <w:r>
              <w:rPr>
                <w:rStyle w:val="21"/>
                <w:rFonts w:ascii="Times New Roman" w:hAnsi="Times New Roman" w:cs="Times New Roman"/>
                <w:color w:val="auto"/>
              </w:rPr>
              <w:t>控规范围内现有居民根据后续引进具体项目环评确定的环境防护距离实施搬迁安置</w:t>
            </w:r>
            <w:r>
              <w:rPr>
                <w:rStyle w:val="22"/>
                <w:rFonts w:eastAsia="仿宋"/>
                <w:color w:val="auto"/>
              </w:rPr>
              <w:t>;</w:t>
            </w:r>
            <w:r>
              <w:rPr>
                <w:rStyle w:val="21"/>
                <w:rFonts w:ascii="Times New Roman" w:hAnsi="Times New Roman" w:cs="Times New Roman"/>
                <w:color w:val="auto"/>
              </w:rPr>
              <w:t>地方政府应协调相关部门后续进一步落实园区周边农业规划、农田结构、种植结构等调整工作，有色冶炼区规划控制距离内禁止种植食用部位易富集重金属农作物。</w:t>
            </w:r>
            <w:r>
              <w:rPr>
                <w:rStyle w:val="22"/>
                <w:rFonts w:eastAsia="仿宋"/>
                <w:color w:val="auto"/>
              </w:rPr>
              <w:br w:type="textWrapping"/>
            </w:r>
            <w:r>
              <w:rPr>
                <w:rStyle w:val="21"/>
                <w:rFonts w:ascii="Times New Roman" w:hAnsi="Times New Roman" w:cs="Times New Roman"/>
                <w:color w:val="auto"/>
              </w:rPr>
              <w:t>水口山工业园内不设生活居住区，依据周边集镇区统一规划配套生活服务区和拆迁安置用地。</w:t>
            </w:r>
          </w:p>
        </w:tc>
        <w:tc>
          <w:tcPr>
            <w:tcW w:w="2956"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严格按照规划环评优化的功能区进行开发建设，严格落实生态隔离带的建设和控规要求，水口山园区规划的三类工业用地外围设置</w:t>
            </w:r>
            <w:r>
              <w:rPr>
                <w:rStyle w:val="22"/>
                <w:rFonts w:eastAsia="仿宋"/>
                <w:color w:val="auto"/>
              </w:rPr>
              <w:t>1km</w:t>
            </w:r>
            <w:r>
              <w:rPr>
                <w:rStyle w:val="21"/>
                <w:rFonts w:ascii="Times New Roman" w:hAnsi="Times New Roman" w:cs="Times New Roman"/>
                <w:color w:val="auto"/>
              </w:rPr>
              <w:t>的规划控制距离，区域内不设生活居住区；宜阳工业园不建气型污染严重的项目。</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2</w:t>
            </w:r>
          </w:p>
        </w:tc>
        <w:tc>
          <w:tcPr>
            <w:tcW w:w="3544"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严格执行企业准入制度，入园项目选址必须符合总体发展规划、用地规划、环保规划及产业规划要求，不得引进国家明令淘汰和禁止发展的能耗物耗高、环境污染严重、不符合产业政策的建设项目</w:t>
            </w:r>
            <w:r>
              <w:rPr>
                <w:rStyle w:val="22"/>
                <w:rFonts w:eastAsia="仿宋"/>
                <w:color w:val="auto"/>
              </w:rPr>
              <w:t>;</w:t>
            </w:r>
            <w:r>
              <w:rPr>
                <w:rStyle w:val="21"/>
                <w:rFonts w:ascii="Times New Roman" w:hAnsi="Times New Roman" w:cs="Times New Roman"/>
                <w:color w:val="auto"/>
              </w:rPr>
              <w:t>管委会和地方环保行政主管部门必须按照报告书提出的园区准入负面清单的要求做好项目的招商把关，在入园项目前期和建设期，必须严格执行建设项目环境影响评价和</w:t>
            </w:r>
            <w:r>
              <w:rPr>
                <w:rStyle w:val="22"/>
                <w:rFonts w:eastAsia="仿宋"/>
                <w:color w:val="auto"/>
              </w:rPr>
              <w:t>“</w:t>
            </w:r>
            <w:r>
              <w:rPr>
                <w:rStyle w:val="21"/>
                <w:rFonts w:ascii="Times New Roman" w:hAnsi="Times New Roman" w:cs="Times New Roman"/>
                <w:color w:val="auto"/>
              </w:rPr>
              <w:t>三同时</w:t>
            </w:r>
            <w:r>
              <w:rPr>
                <w:rStyle w:val="22"/>
                <w:rFonts w:eastAsia="仿宋"/>
                <w:color w:val="auto"/>
              </w:rPr>
              <w:t>”</w:t>
            </w:r>
            <w:r>
              <w:rPr>
                <w:rStyle w:val="21"/>
                <w:rFonts w:ascii="Times New Roman" w:hAnsi="Times New Roman" w:cs="Times New Roman"/>
                <w:color w:val="auto"/>
              </w:rPr>
              <w:t>制度，推行清洁生产工艺，其排污浓度、总量必须满足达标排放和总量控制要求</w:t>
            </w:r>
            <w:r>
              <w:rPr>
                <w:rStyle w:val="22"/>
                <w:rFonts w:eastAsia="仿宋"/>
                <w:color w:val="auto"/>
              </w:rPr>
              <w:t>;</w:t>
            </w:r>
            <w:r>
              <w:rPr>
                <w:rStyle w:val="21"/>
                <w:rFonts w:ascii="Times New Roman" w:hAnsi="Times New Roman" w:cs="Times New Roman"/>
                <w:color w:val="auto"/>
              </w:rPr>
              <w:t>加强对现有已入园企业的环境监管，对不符合产业定位的常宁市华骏再生资源有限公司实施搬迁。</w:t>
            </w:r>
          </w:p>
        </w:tc>
        <w:tc>
          <w:tcPr>
            <w:tcW w:w="2956"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园区严格按照规划环评批复要求审核入园企业是否符合园区产业定位，是否符合园区各类规划要求，列出园区准入负面清单，严把招商引资关。入园项目前期、建设期和运营期，严格执行环评和</w:t>
            </w:r>
            <w:r>
              <w:rPr>
                <w:rStyle w:val="22"/>
                <w:rFonts w:eastAsia="仿宋"/>
                <w:color w:val="auto"/>
              </w:rPr>
              <w:t>“</w:t>
            </w:r>
            <w:r>
              <w:rPr>
                <w:rStyle w:val="21"/>
                <w:rFonts w:ascii="Times New Roman" w:hAnsi="Times New Roman" w:cs="Times New Roman"/>
                <w:color w:val="auto"/>
              </w:rPr>
              <w:t>三同时</w:t>
            </w:r>
            <w:r>
              <w:rPr>
                <w:rStyle w:val="22"/>
                <w:rFonts w:eastAsia="仿宋"/>
                <w:color w:val="auto"/>
              </w:rPr>
              <w:t>”</w:t>
            </w:r>
            <w:r>
              <w:rPr>
                <w:rStyle w:val="21"/>
                <w:rFonts w:ascii="Times New Roman" w:hAnsi="Times New Roman" w:cs="Times New Roman"/>
                <w:color w:val="auto"/>
              </w:rPr>
              <w:t>制度，加强日常监管，力推企业开展清洁生产工作，使企业排污浓度和总量达到相关要求。</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3</w:t>
            </w:r>
          </w:p>
        </w:tc>
        <w:tc>
          <w:tcPr>
            <w:tcW w:w="3544"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严格执行《湖南省湘江保护条例》，园区不得新增涉重金属水污染物排放量</w:t>
            </w:r>
            <w:r>
              <w:rPr>
                <w:rStyle w:val="22"/>
                <w:rFonts w:eastAsia="仿宋"/>
                <w:color w:val="auto"/>
              </w:rPr>
              <w:t>;</w:t>
            </w:r>
            <w:r>
              <w:rPr>
                <w:rStyle w:val="21"/>
                <w:rFonts w:ascii="Times New Roman" w:hAnsi="Times New Roman" w:cs="Times New Roman"/>
                <w:color w:val="auto"/>
              </w:rPr>
              <w:t>按</w:t>
            </w:r>
            <w:r>
              <w:rPr>
                <w:rStyle w:val="22"/>
                <w:rFonts w:eastAsia="仿宋"/>
                <w:color w:val="auto"/>
              </w:rPr>
              <w:t>“</w:t>
            </w:r>
            <w:r>
              <w:rPr>
                <w:rStyle w:val="21"/>
                <w:rFonts w:ascii="Times New Roman" w:hAnsi="Times New Roman" w:cs="Times New Roman"/>
                <w:color w:val="auto"/>
              </w:rPr>
              <w:t>雨污分流、污污分流</w:t>
            </w:r>
            <w:r>
              <w:rPr>
                <w:rStyle w:val="22"/>
                <w:rFonts w:eastAsia="仿宋"/>
                <w:color w:val="auto"/>
              </w:rPr>
              <w:t>”</w:t>
            </w:r>
            <w:r>
              <w:rPr>
                <w:rStyle w:val="21"/>
                <w:rFonts w:ascii="Times New Roman" w:hAnsi="Times New Roman" w:cs="Times New Roman"/>
                <w:color w:val="auto"/>
              </w:rPr>
              <w:t>原则优化区域排水方案，水口山工业园区生产、生活废水分别通过污水管网收集后排入园区工业、生活污水处理厂处理达标后外排湘江，对其中涉重金属废水按项目环评要求执行</w:t>
            </w:r>
            <w:r>
              <w:rPr>
                <w:rStyle w:val="22"/>
                <w:rFonts w:eastAsia="仿宋"/>
                <w:color w:val="auto"/>
              </w:rPr>
              <w:t>;</w:t>
            </w:r>
            <w:r>
              <w:rPr>
                <w:rStyle w:val="21"/>
                <w:rFonts w:ascii="Times New Roman" w:hAnsi="Times New Roman" w:cs="Times New Roman"/>
                <w:color w:val="auto"/>
              </w:rPr>
              <w:t>铜铅锌产业基地工业废水必须落实零排放要求，对不能直接回用的工业废水必须经深度处理后在企业内部消纳，严禁进入各类自然水体</w:t>
            </w:r>
            <w:r>
              <w:rPr>
                <w:rStyle w:val="22"/>
                <w:rFonts w:eastAsia="仿宋"/>
                <w:color w:val="auto"/>
              </w:rPr>
              <w:t>;</w:t>
            </w:r>
            <w:r>
              <w:rPr>
                <w:rStyle w:val="21"/>
                <w:rFonts w:ascii="Times New Roman" w:hAnsi="Times New Roman" w:cs="Times New Roman"/>
                <w:color w:val="auto"/>
              </w:rPr>
              <w:t>宜阳工业园产生废水通过管道收集进入到园区拟建污水处理厂，处理达标后外排潭水</w:t>
            </w:r>
            <w:r>
              <w:rPr>
                <w:rStyle w:val="22"/>
                <w:rFonts w:eastAsia="仿宋"/>
                <w:color w:val="auto"/>
              </w:rPr>
              <w:t>;</w:t>
            </w:r>
            <w:r>
              <w:rPr>
                <w:rStyle w:val="21"/>
                <w:rFonts w:ascii="Times New Roman" w:hAnsi="Times New Roman" w:cs="Times New Roman"/>
                <w:color w:val="auto"/>
              </w:rPr>
              <w:t>加快各分园区排水管网、宜阳工业园污水处理厂的建设进度，在管网及相应污水处理厂建成接管运营前限制水型污染企业引入</w:t>
            </w:r>
            <w:r>
              <w:rPr>
                <w:rStyle w:val="22"/>
                <w:rFonts w:eastAsia="仿宋"/>
                <w:color w:val="auto"/>
              </w:rPr>
              <w:t>;</w:t>
            </w:r>
            <w:r>
              <w:rPr>
                <w:rStyle w:val="21"/>
                <w:rFonts w:ascii="Times New Roman" w:hAnsi="Times New Roman" w:cs="Times New Roman"/>
                <w:color w:val="auto"/>
              </w:rPr>
              <w:t>园区管理机构应对耗水量大的企业实施新水定额管理，制定有效的调节措施提高企业水资源重复利用率，减少废水排放总量。</w:t>
            </w:r>
          </w:p>
        </w:tc>
        <w:tc>
          <w:tcPr>
            <w:tcW w:w="2956"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园区严把涉重金属水污染排放企业审核关，涉重金属水污染排放的项目一票否决。目前正在开展园区</w:t>
            </w:r>
            <w:r>
              <w:rPr>
                <w:rStyle w:val="22"/>
                <w:rFonts w:eastAsia="仿宋"/>
                <w:color w:val="auto"/>
              </w:rPr>
              <w:t>“</w:t>
            </w:r>
            <w:r>
              <w:rPr>
                <w:rStyle w:val="21"/>
                <w:rFonts w:ascii="Times New Roman" w:hAnsi="Times New Roman" w:cs="Times New Roman"/>
                <w:color w:val="auto"/>
              </w:rPr>
              <w:t>雨污分流、污污分流</w:t>
            </w:r>
            <w:r>
              <w:rPr>
                <w:rStyle w:val="22"/>
                <w:rFonts w:eastAsia="仿宋"/>
                <w:color w:val="auto"/>
              </w:rPr>
              <w:t>”</w:t>
            </w:r>
            <w:r>
              <w:rPr>
                <w:rStyle w:val="21"/>
                <w:rFonts w:ascii="Times New Roman" w:hAnsi="Times New Roman" w:cs="Times New Roman"/>
                <w:color w:val="auto"/>
              </w:rPr>
              <w:t>摸底调查，为后期制定优化的区域排水方案打下坚实基础。同时，水口山园区工业污水处理厂正在实施技术改造工程，水口山园区生活污水处理厂改扩建二期工作正在实施过程中，宜阳工业园污水处理厂建设项目前期工作基本完成，预计年底建成运营。</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4</w:t>
            </w:r>
          </w:p>
        </w:tc>
        <w:tc>
          <w:tcPr>
            <w:tcW w:w="3544"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加强经开区大气污染防控措施。宜阳工业园禁止引进气型污染大的企业和项目</w:t>
            </w:r>
            <w:r>
              <w:rPr>
                <w:rStyle w:val="22"/>
                <w:rFonts w:eastAsia="仿宋"/>
                <w:color w:val="auto"/>
              </w:rPr>
              <w:t>;</w:t>
            </w:r>
            <w:r>
              <w:rPr>
                <w:rStyle w:val="21"/>
                <w:rFonts w:ascii="Times New Roman" w:hAnsi="Times New Roman" w:cs="Times New Roman"/>
                <w:color w:val="auto"/>
              </w:rPr>
              <w:t>园区管理机构应加强管理，各分园区新引进企业必须采用天然气等清洁能源，并对现有企业进行能源结构清洁化改造。加强企业管理，对各企业有工艺废气产出的生产节点，应配置废气收集与处理净化装置，做到达标排放</w:t>
            </w:r>
            <w:r>
              <w:rPr>
                <w:rStyle w:val="22"/>
                <w:rFonts w:eastAsia="仿宋"/>
                <w:color w:val="auto"/>
              </w:rPr>
              <w:t>;</w:t>
            </w:r>
            <w:r>
              <w:rPr>
                <w:rStyle w:val="21"/>
                <w:rFonts w:ascii="Times New Roman" w:hAnsi="Times New Roman" w:cs="Times New Roman"/>
                <w:color w:val="auto"/>
              </w:rPr>
              <w:t>加强生产工艺研究与技术改进，采取有效措施，减少工艺废气的无组织排放，入园企业各生产装置排放的废气须经处理达到相应的排放标准</w:t>
            </w:r>
            <w:r>
              <w:rPr>
                <w:rStyle w:val="22"/>
                <w:rFonts w:eastAsia="仿宋"/>
                <w:color w:val="auto"/>
              </w:rPr>
              <w:t>;</w:t>
            </w:r>
            <w:r>
              <w:rPr>
                <w:rStyle w:val="21"/>
                <w:rFonts w:ascii="Times New Roman" w:hAnsi="Times New Roman" w:cs="Times New Roman"/>
                <w:color w:val="auto"/>
              </w:rPr>
              <w:t>合理优化工业布局，并在工业企业之间设置合理的间隔距离，避免不利影响。</w:t>
            </w:r>
          </w:p>
        </w:tc>
        <w:tc>
          <w:tcPr>
            <w:tcW w:w="2956"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通过合理优化企业布局，避免气污染对企业的相互影响。通过建设安装空气小微站，对水口山园区空气质量进行随时监控，针对空气质量随时开展相应环保管理措施。引进天然气站项目，并要求园区各企业必须采用天然气等清洁能源。加强企业监管，应用在线监控，促使企业做到达标排放。</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5</w:t>
            </w:r>
          </w:p>
        </w:tc>
        <w:tc>
          <w:tcPr>
            <w:tcW w:w="3544"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做好工业固体废物和生活垃圾的分类收集、转运、综合利用和无害化处理，建立统一的固废收集、贮存、运输、综合利用和安全处置的运营管理体系。推行清洁生产，减少固体废物产生量</w:t>
            </w:r>
            <w:r>
              <w:rPr>
                <w:rStyle w:val="22"/>
                <w:rFonts w:eastAsia="仿宋"/>
                <w:color w:val="auto"/>
              </w:rPr>
              <w:t>;</w:t>
            </w:r>
            <w:r>
              <w:rPr>
                <w:rStyle w:val="21"/>
                <w:rFonts w:ascii="Times New Roman" w:hAnsi="Times New Roman" w:cs="Times New Roman"/>
                <w:color w:val="auto"/>
              </w:rPr>
              <w:t>加强固体废物的资源化进程，按循环经济要求进一步提高资源综合利用率</w:t>
            </w:r>
            <w:r>
              <w:rPr>
                <w:rStyle w:val="22"/>
                <w:rFonts w:eastAsia="仿宋"/>
                <w:color w:val="auto"/>
              </w:rPr>
              <w:t>;</w:t>
            </w:r>
            <w:r>
              <w:rPr>
                <w:rStyle w:val="21"/>
                <w:rFonts w:ascii="Times New Roman" w:hAnsi="Times New Roman" w:cs="Times New Roman"/>
                <w:color w:val="auto"/>
              </w:rPr>
              <w:t>规范固体废物处理措施，对工业企业产生固体废物特别是危险固废应按国家有关规定综合利用或妥善处置，严防二次污染。规范园区各企业的危废暂存场所建设，确保满足防风、防雨、防渗要求，防止危废流失。</w:t>
            </w:r>
          </w:p>
        </w:tc>
        <w:tc>
          <w:tcPr>
            <w:tcW w:w="2956"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已建成园区生活垃圾中转站，规范园区生活垃圾的收集、转运和无害化处理。已建成园区危废处置中心，针对园区产生的危废进行无害化处置。加强园区固废处置场所监管，确保稳定正常运营。</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6</w:t>
            </w:r>
          </w:p>
        </w:tc>
        <w:tc>
          <w:tcPr>
            <w:tcW w:w="3544"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园区应统筹相关规划、社会关系、拆迁、舆情等协调工作</w:t>
            </w:r>
            <w:r>
              <w:rPr>
                <w:rStyle w:val="22"/>
                <w:rFonts w:eastAsia="仿宋"/>
                <w:color w:val="auto"/>
              </w:rPr>
              <w:t>;</w:t>
            </w:r>
            <w:r>
              <w:rPr>
                <w:rStyle w:val="21"/>
                <w:rFonts w:ascii="Times New Roman" w:hAnsi="Times New Roman" w:cs="Times New Roman"/>
                <w:color w:val="auto"/>
              </w:rPr>
              <w:t>建立专职环境监督管理机构，加强环境风险预警、防控、应急体系建设，建全环境风险防控管理工作长效机制，加强风险管理，落实防范措施。建立有效的化学品环境风险防控系统和有效的拦截、降污、导流等设施以及涉重三废的风险应急管理办法，制定环境风险应急预案，加强应急救援队伍、装备和设施建设，储备必要的应急物资并定期有针对性地排查环境安全隐患，有计划地组织应急培训和演练，全面提升园区风险防控和事故应急处置能力，严防环境风险事故发生。</w:t>
            </w:r>
          </w:p>
        </w:tc>
        <w:tc>
          <w:tcPr>
            <w:tcW w:w="2956"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园区已统筹相关的协调工作</w:t>
            </w:r>
            <w:r>
              <w:rPr>
                <w:rStyle w:val="22"/>
                <w:rFonts w:eastAsia="仿宋"/>
                <w:color w:val="auto"/>
              </w:rPr>
              <w:t>;</w:t>
            </w:r>
            <w:r>
              <w:rPr>
                <w:rStyle w:val="21"/>
                <w:rFonts w:ascii="Times New Roman" w:hAnsi="Times New Roman" w:cs="Times New Roman"/>
                <w:color w:val="auto"/>
              </w:rPr>
              <w:t>已建立专职环境监督管理机构，已完成突发环境事件应急预案的编制，全面提升园区风险防控和事故应急处置能力，做好严防环境风险事故发生。</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5"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7</w:t>
            </w:r>
          </w:p>
        </w:tc>
        <w:tc>
          <w:tcPr>
            <w:tcW w:w="3544"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严格落实经开区污染物排放总量控制措施。按照环评预测分析和地方环保局意见，至规划期末</w:t>
            </w:r>
            <w:r>
              <w:rPr>
                <w:rStyle w:val="22"/>
                <w:rFonts w:eastAsia="仿宋"/>
                <w:color w:val="auto"/>
              </w:rPr>
              <w:t>(2020</w:t>
            </w:r>
            <w:r>
              <w:rPr>
                <w:rStyle w:val="21"/>
                <w:rFonts w:ascii="Times New Roman" w:hAnsi="Times New Roman" w:cs="Times New Roman"/>
                <w:color w:val="auto"/>
              </w:rPr>
              <w:t>年</w:t>
            </w:r>
            <w:r>
              <w:rPr>
                <w:rStyle w:val="22"/>
                <w:rFonts w:eastAsia="仿宋"/>
                <w:color w:val="auto"/>
              </w:rPr>
              <w:t>)</w:t>
            </w:r>
          </w:p>
        </w:tc>
        <w:tc>
          <w:tcPr>
            <w:tcW w:w="2956" w:type="dxa"/>
            <w:tcBorders>
              <w:tl2br w:val="nil"/>
              <w:tr2bl w:val="nil"/>
            </w:tcBorders>
            <w:vAlign w:val="center"/>
          </w:tcPr>
          <w:p>
            <w:pPr>
              <w:widowControl/>
              <w:jc w:val="center"/>
              <w:textAlignment w:val="center"/>
              <w:rPr>
                <w:rFonts w:ascii="Times New Roman" w:hAnsi="Times New Roman" w:eastAsia="仿宋" w:cs="Times New Roman"/>
                <w:color w:val="auto"/>
                <w:sz w:val="21"/>
                <w:szCs w:val="21"/>
              </w:rPr>
            </w:pPr>
            <w:r>
              <w:rPr>
                <w:rStyle w:val="21"/>
                <w:rFonts w:ascii="Times New Roman" w:hAnsi="Times New Roman" w:cs="Times New Roman"/>
                <w:color w:val="auto"/>
              </w:rPr>
              <w:t>已严格落实经开区污染物排放总量控制措施。</w:t>
            </w:r>
          </w:p>
        </w:tc>
        <w:tc>
          <w:tcPr>
            <w:tcW w:w="1304"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已落实</w:t>
            </w:r>
          </w:p>
        </w:tc>
      </w:tr>
    </w:tbl>
    <w:p>
      <w:pPr>
        <w:pStyle w:val="8"/>
        <w:snapToGrid w:val="0"/>
        <w:spacing w:after="0" w:line="600" w:lineRule="exact"/>
        <w:ind w:left="0" w:leftChars="0" w:firstLine="480"/>
        <w:rPr>
          <w:rFonts w:ascii="Times New Roman" w:hAnsi="Times New Roman" w:eastAsia="仿宋"/>
          <w:color w:val="auto"/>
          <w:sz w:val="24"/>
          <w:szCs w:val="24"/>
        </w:rPr>
      </w:pPr>
      <w:r>
        <w:rPr>
          <w:rFonts w:ascii="Times New Roman" w:hAnsi="Times New Roman" w:eastAsia="仿宋"/>
          <w:color w:val="auto"/>
          <w:sz w:val="24"/>
          <w:szCs w:val="24"/>
        </w:rPr>
        <w:t>表2  园区规划环评要求的年度自行监测计划落实情况（环境质量）</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37"/>
        <w:gridCol w:w="1217"/>
        <w:gridCol w:w="3714"/>
        <w:gridCol w:w="13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环境</w:t>
            </w:r>
          </w:p>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要素</w:t>
            </w:r>
          </w:p>
        </w:tc>
        <w:tc>
          <w:tcPr>
            <w:tcW w:w="902"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监测点位</w:t>
            </w:r>
          </w:p>
        </w:tc>
        <w:tc>
          <w:tcPr>
            <w:tcW w:w="714"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监测时段或频次</w:t>
            </w:r>
          </w:p>
        </w:tc>
        <w:tc>
          <w:tcPr>
            <w:tcW w:w="2179"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监测因子</w:t>
            </w:r>
          </w:p>
        </w:tc>
        <w:tc>
          <w:tcPr>
            <w:tcW w:w="777"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大气</w:t>
            </w:r>
          </w:p>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环境</w:t>
            </w:r>
          </w:p>
        </w:tc>
        <w:tc>
          <w:tcPr>
            <w:tcW w:w="902"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kern w:val="0"/>
                <w:sz w:val="21"/>
                <w:szCs w:val="21"/>
              </w:rPr>
              <w:t>朱陂村、</w:t>
            </w:r>
            <w:r>
              <w:rPr>
                <w:rFonts w:ascii="Times New Roman" w:hAnsi="Times New Roman" w:eastAsia="仿宋" w:cs="Times New Roman"/>
                <w:color w:val="auto"/>
                <w:sz w:val="21"/>
                <w:szCs w:val="21"/>
              </w:rPr>
              <w:t>水口山子弟学校、新华村、千家村</w:t>
            </w:r>
          </w:p>
        </w:tc>
        <w:tc>
          <w:tcPr>
            <w:tcW w:w="714"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每半年1次</w:t>
            </w:r>
          </w:p>
        </w:tc>
        <w:tc>
          <w:tcPr>
            <w:tcW w:w="2179"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SO2、NO2、PM10、PM2.5、TSP、氟化物、硫酸雾、硫化氢、铅、汞、砷、镉、铬等</w:t>
            </w:r>
          </w:p>
        </w:tc>
        <w:tc>
          <w:tcPr>
            <w:tcW w:w="777"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地表水</w:t>
            </w:r>
          </w:p>
        </w:tc>
        <w:tc>
          <w:tcPr>
            <w:tcW w:w="902"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康家溪、曾家溪、宜水、潭水</w:t>
            </w:r>
          </w:p>
        </w:tc>
        <w:tc>
          <w:tcPr>
            <w:tcW w:w="714"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每年1-2次</w:t>
            </w:r>
          </w:p>
        </w:tc>
        <w:tc>
          <w:tcPr>
            <w:tcW w:w="2179"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pH、COD、BOD5、SS、氨氮、阴离子表面活性剂、总磷、石油类、粪大肠菌群、氟化物、挥发酚、Cu、Zn、Pb、As、Hg、Cd、Cr6+等</w:t>
            </w:r>
          </w:p>
        </w:tc>
        <w:tc>
          <w:tcPr>
            <w:tcW w:w="777"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地下水</w:t>
            </w:r>
          </w:p>
        </w:tc>
        <w:tc>
          <w:tcPr>
            <w:tcW w:w="902"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金铜厂区内、</w:t>
            </w:r>
          </w:p>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朱陂塘组等</w:t>
            </w:r>
          </w:p>
        </w:tc>
        <w:tc>
          <w:tcPr>
            <w:tcW w:w="714"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每半年1次</w:t>
            </w:r>
          </w:p>
        </w:tc>
        <w:tc>
          <w:tcPr>
            <w:tcW w:w="2179"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氨氮、pH、总硬度、硝酸盐氮、亚硝酸盐氮、氯化物、硫酸盐、挥发酚、氰化物、高锰酸盐指数、氟化物、溶解性总固体、铅、镉、砷、汞、六价铬、铁、锰等</w:t>
            </w:r>
          </w:p>
        </w:tc>
        <w:tc>
          <w:tcPr>
            <w:tcW w:w="777"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噪声</w:t>
            </w:r>
          </w:p>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环境</w:t>
            </w:r>
          </w:p>
        </w:tc>
        <w:tc>
          <w:tcPr>
            <w:tcW w:w="902"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各企业厂界、</w:t>
            </w:r>
          </w:p>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居民点</w:t>
            </w:r>
          </w:p>
        </w:tc>
        <w:tc>
          <w:tcPr>
            <w:tcW w:w="714"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每半年1次</w:t>
            </w:r>
          </w:p>
        </w:tc>
        <w:tc>
          <w:tcPr>
            <w:tcW w:w="2179"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连续等效A声级</w:t>
            </w:r>
          </w:p>
        </w:tc>
        <w:tc>
          <w:tcPr>
            <w:tcW w:w="777"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土壤</w:t>
            </w:r>
          </w:p>
        </w:tc>
        <w:tc>
          <w:tcPr>
            <w:tcW w:w="902"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新同村、雷公塘、田州村、千家村</w:t>
            </w:r>
          </w:p>
        </w:tc>
        <w:tc>
          <w:tcPr>
            <w:tcW w:w="714"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每3年1次</w:t>
            </w:r>
          </w:p>
        </w:tc>
        <w:tc>
          <w:tcPr>
            <w:tcW w:w="2179"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pH、铜、锌、铅、砷、汞、镉、铬、镍等</w:t>
            </w:r>
          </w:p>
        </w:tc>
        <w:tc>
          <w:tcPr>
            <w:tcW w:w="777"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生态</w:t>
            </w:r>
          </w:p>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环境</w:t>
            </w:r>
          </w:p>
        </w:tc>
        <w:tc>
          <w:tcPr>
            <w:tcW w:w="902"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由专业调查机构视具体情况而定</w:t>
            </w:r>
          </w:p>
        </w:tc>
        <w:tc>
          <w:tcPr>
            <w:tcW w:w="714"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每3年1次</w:t>
            </w:r>
          </w:p>
        </w:tc>
        <w:tc>
          <w:tcPr>
            <w:tcW w:w="2179"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动植物资源、植被、土地利用、景观环境、水土流失及农业植被有毒有害物质残余等</w:t>
            </w:r>
          </w:p>
        </w:tc>
        <w:tc>
          <w:tcPr>
            <w:tcW w:w="777" w:type="pct"/>
            <w:tcBorders>
              <w:tl2br w:val="nil"/>
              <w:tr2bl w:val="nil"/>
            </w:tcBorders>
            <w:vAlign w:val="center"/>
          </w:tcPr>
          <w:p>
            <w:pPr>
              <w:tabs>
                <w:tab w:val="left" w:pos="1021"/>
              </w:tabs>
              <w:snapToGrid w:val="0"/>
              <w:jc w:val="center"/>
              <w:rPr>
                <w:rFonts w:ascii="Times New Roman" w:hAnsi="Times New Roman" w:eastAsia="仿宋" w:cs="Times New Roman"/>
                <w:color w:val="auto"/>
                <w:sz w:val="21"/>
                <w:szCs w:val="21"/>
              </w:rPr>
            </w:pPr>
            <w:r>
              <w:rPr>
                <w:rFonts w:ascii="Times New Roman" w:hAnsi="Times New Roman" w:eastAsia="仿宋" w:cs="Times New Roman"/>
                <w:color w:val="auto"/>
                <w:sz w:val="21"/>
                <w:szCs w:val="21"/>
              </w:rPr>
              <w:t>已落实</w:t>
            </w:r>
          </w:p>
        </w:tc>
      </w:tr>
    </w:tbl>
    <w:p>
      <w:pP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br w:type="page"/>
      </w:r>
    </w:p>
    <w:p>
      <w:pPr>
        <w:pStyle w:val="8"/>
        <w:snapToGrid w:val="0"/>
        <w:spacing w:after="0" w:line="600" w:lineRule="exact"/>
        <w:ind w:left="0" w:leftChars="0" w:firstLine="0" w:firstLineChars="0"/>
        <w:jc w:val="center"/>
        <w:rPr>
          <w:rFonts w:ascii="Times New Roman" w:hAnsi="Times New Roman" w:eastAsia="仿宋"/>
          <w:color w:val="auto"/>
          <w:szCs w:val="32"/>
        </w:rPr>
      </w:pPr>
      <w:r>
        <w:rPr>
          <w:rFonts w:ascii="Times New Roman" w:hAnsi="Times New Roman" w:eastAsia="仿宋"/>
          <w:color w:val="auto"/>
          <w:sz w:val="24"/>
          <w:szCs w:val="24"/>
        </w:rPr>
        <w:t>表3  园区规划环评要求的年度自行监测计划落实情况（污染源）</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2141"/>
        <w:gridCol w:w="2294"/>
        <w:gridCol w:w="2003"/>
        <w:gridCol w:w="13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3" w:type="pct"/>
            <w:gridSpan w:val="2"/>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污染源名称</w:t>
            </w:r>
          </w:p>
        </w:tc>
        <w:tc>
          <w:tcPr>
            <w:tcW w:w="1346"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监测项目</w:t>
            </w:r>
          </w:p>
        </w:tc>
        <w:tc>
          <w:tcPr>
            <w:tcW w:w="117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监测频次</w:t>
            </w:r>
          </w:p>
        </w:tc>
        <w:tc>
          <w:tcPr>
            <w:tcW w:w="794"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7" w:type="pct"/>
            <w:vMerge w:val="restar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废气</w:t>
            </w:r>
          </w:p>
        </w:tc>
        <w:tc>
          <w:tcPr>
            <w:tcW w:w="125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各类炉窑烟气</w:t>
            </w:r>
          </w:p>
        </w:tc>
        <w:tc>
          <w:tcPr>
            <w:tcW w:w="1346"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SO</w:t>
            </w:r>
            <w:r>
              <w:rPr>
                <w:rFonts w:ascii="Times New Roman" w:hAnsi="Times New Roman" w:eastAsia="仿宋" w:cs="Times New Roman"/>
                <w:color w:val="auto"/>
                <w:vertAlign w:val="subscript"/>
              </w:rPr>
              <w:t>2</w:t>
            </w:r>
            <w:r>
              <w:rPr>
                <w:rFonts w:ascii="Times New Roman" w:hAnsi="Times New Roman" w:eastAsia="仿宋" w:cs="Times New Roman"/>
                <w:color w:val="auto"/>
              </w:rPr>
              <w:t>、烟尘、粉尘、铅、砷、镉</w:t>
            </w:r>
          </w:p>
        </w:tc>
        <w:tc>
          <w:tcPr>
            <w:tcW w:w="117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每季度一次</w:t>
            </w:r>
          </w:p>
        </w:tc>
        <w:tc>
          <w:tcPr>
            <w:tcW w:w="794"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7" w:type="pct"/>
            <w:vMerge w:val="continue"/>
            <w:tcBorders>
              <w:tl2br w:val="nil"/>
              <w:tr2bl w:val="nil"/>
            </w:tcBorders>
            <w:vAlign w:val="center"/>
          </w:tcPr>
          <w:p>
            <w:pPr>
              <w:pStyle w:val="23"/>
              <w:rPr>
                <w:rFonts w:ascii="Times New Roman" w:hAnsi="Times New Roman" w:eastAsia="仿宋" w:cs="Times New Roman"/>
                <w:color w:val="auto"/>
              </w:rPr>
            </w:pPr>
          </w:p>
        </w:tc>
        <w:tc>
          <w:tcPr>
            <w:tcW w:w="125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锅炉</w:t>
            </w:r>
          </w:p>
        </w:tc>
        <w:tc>
          <w:tcPr>
            <w:tcW w:w="1346"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SO</w:t>
            </w:r>
            <w:r>
              <w:rPr>
                <w:rFonts w:ascii="Times New Roman" w:hAnsi="Times New Roman" w:eastAsia="仿宋" w:cs="Times New Roman"/>
                <w:color w:val="auto"/>
                <w:vertAlign w:val="subscript"/>
              </w:rPr>
              <w:t>2</w:t>
            </w:r>
            <w:r>
              <w:rPr>
                <w:rFonts w:ascii="Times New Roman" w:hAnsi="Times New Roman" w:eastAsia="仿宋" w:cs="Times New Roman"/>
                <w:color w:val="auto"/>
              </w:rPr>
              <w:t>、烟尘、粉尘、氮氧化物</w:t>
            </w:r>
          </w:p>
        </w:tc>
        <w:tc>
          <w:tcPr>
            <w:tcW w:w="117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每季度一次</w:t>
            </w:r>
          </w:p>
        </w:tc>
        <w:tc>
          <w:tcPr>
            <w:tcW w:w="794"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7" w:type="pct"/>
            <w:vMerge w:val="continue"/>
            <w:tcBorders>
              <w:tl2br w:val="nil"/>
              <w:tr2bl w:val="nil"/>
            </w:tcBorders>
            <w:vAlign w:val="center"/>
          </w:tcPr>
          <w:p>
            <w:pPr>
              <w:pStyle w:val="23"/>
              <w:rPr>
                <w:rFonts w:ascii="Times New Roman" w:hAnsi="Times New Roman" w:eastAsia="仿宋" w:cs="Times New Roman"/>
                <w:color w:val="auto"/>
              </w:rPr>
            </w:pPr>
          </w:p>
        </w:tc>
        <w:tc>
          <w:tcPr>
            <w:tcW w:w="125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工艺废气</w:t>
            </w:r>
          </w:p>
        </w:tc>
        <w:tc>
          <w:tcPr>
            <w:tcW w:w="1346"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铅、砷等</w:t>
            </w:r>
          </w:p>
        </w:tc>
        <w:tc>
          <w:tcPr>
            <w:tcW w:w="117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每季度一次</w:t>
            </w:r>
          </w:p>
        </w:tc>
        <w:tc>
          <w:tcPr>
            <w:tcW w:w="794"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7" w:type="pct"/>
            <w:vMerge w:val="restar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废水污染源</w:t>
            </w:r>
          </w:p>
        </w:tc>
        <w:tc>
          <w:tcPr>
            <w:tcW w:w="125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废水处理站排水</w:t>
            </w:r>
          </w:p>
        </w:tc>
        <w:tc>
          <w:tcPr>
            <w:tcW w:w="1346"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废水量、pH 、COD、石油类、氨氮、挥发酚、总磷、重金属</w:t>
            </w:r>
          </w:p>
        </w:tc>
        <w:tc>
          <w:tcPr>
            <w:tcW w:w="117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废水量和COD、重金属在线监测；其它项目每天一次</w:t>
            </w:r>
          </w:p>
        </w:tc>
        <w:tc>
          <w:tcPr>
            <w:tcW w:w="794"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7" w:type="pct"/>
            <w:vMerge w:val="continue"/>
            <w:tcBorders>
              <w:tl2br w:val="nil"/>
              <w:tr2bl w:val="nil"/>
            </w:tcBorders>
            <w:vAlign w:val="center"/>
          </w:tcPr>
          <w:p>
            <w:pPr>
              <w:pStyle w:val="23"/>
              <w:rPr>
                <w:rFonts w:ascii="Times New Roman" w:hAnsi="Times New Roman" w:eastAsia="仿宋" w:cs="Times New Roman"/>
                <w:color w:val="auto"/>
              </w:rPr>
            </w:pPr>
          </w:p>
        </w:tc>
        <w:tc>
          <w:tcPr>
            <w:tcW w:w="125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各企业的废水排放口</w:t>
            </w:r>
          </w:p>
        </w:tc>
        <w:tc>
          <w:tcPr>
            <w:tcW w:w="1346"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废水量、COD、pH 、石油类、氨氮、企业的特征污染因子、各种第一类污染物</w:t>
            </w:r>
          </w:p>
        </w:tc>
        <w:tc>
          <w:tcPr>
            <w:tcW w:w="117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废水量在线监测；污染因子每天监测一次或排放前监测</w:t>
            </w:r>
          </w:p>
        </w:tc>
        <w:tc>
          <w:tcPr>
            <w:tcW w:w="794"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3" w:type="pct"/>
            <w:gridSpan w:val="2"/>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固定噪声源监测</w:t>
            </w:r>
          </w:p>
        </w:tc>
        <w:tc>
          <w:tcPr>
            <w:tcW w:w="1346"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连续等效A声级</w:t>
            </w:r>
          </w:p>
        </w:tc>
        <w:tc>
          <w:tcPr>
            <w:tcW w:w="1175"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每季度一次</w:t>
            </w:r>
          </w:p>
        </w:tc>
        <w:tc>
          <w:tcPr>
            <w:tcW w:w="794" w:type="pct"/>
            <w:tcBorders>
              <w:tl2br w:val="nil"/>
              <w:tr2bl w:val="nil"/>
            </w:tcBorders>
            <w:vAlign w:val="center"/>
          </w:tcPr>
          <w:p>
            <w:pPr>
              <w:pStyle w:val="23"/>
              <w:rPr>
                <w:rFonts w:ascii="Times New Roman" w:hAnsi="Times New Roman" w:eastAsia="仿宋" w:cs="Times New Roman"/>
                <w:color w:val="auto"/>
              </w:rPr>
            </w:pPr>
            <w:r>
              <w:rPr>
                <w:rFonts w:ascii="Times New Roman" w:hAnsi="Times New Roman" w:eastAsia="仿宋" w:cs="Times New Roman"/>
                <w:color w:val="auto"/>
              </w:rPr>
              <w:t>已落实</w:t>
            </w:r>
          </w:p>
        </w:tc>
      </w:tr>
    </w:tbl>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（二）“三线一单”落地应用情况</w:t>
      </w:r>
    </w:p>
    <w:p>
      <w:pPr>
        <w:pStyle w:val="8"/>
        <w:snapToGrid w:val="0"/>
        <w:spacing w:after="0" w:line="600" w:lineRule="exact"/>
        <w:ind w:left="0" w:leftChars="0" w:firstLine="0" w:firstLineChars="0"/>
        <w:jc w:val="center"/>
        <w:rPr>
          <w:rFonts w:ascii="Times New Roman" w:hAnsi="Times New Roman" w:eastAsia="仿宋"/>
          <w:color w:val="auto"/>
          <w:sz w:val="24"/>
          <w:szCs w:val="24"/>
        </w:rPr>
      </w:pPr>
      <w:r>
        <w:rPr>
          <w:rFonts w:ascii="Times New Roman" w:hAnsi="Times New Roman" w:eastAsia="仿宋"/>
          <w:color w:val="auto"/>
          <w:sz w:val="24"/>
          <w:szCs w:val="24"/>
        </w:rPr>
        <w:t>表4  园区环境管理与“三线一单”的管控要求落实情况</w:t>
      </w:r>
    </w:p>
    <w:tbl>
      <w:tblPr>
        <w:tblStyle w:val="1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6070"/>
        <w:gridCol w:w="1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管控维度</w:t>
            </w:r>
          </w:p>
        </w:tc>
        <w:tc>
          <w:tcPr>
            <w:tcW w:w="3562"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管控要求</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restar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bCs/>
                <w:color w:val="auto"/>
                <w:sz w:val="21"/>
                <w:szCs w:val="21"/>
              </w:rPr>
              <w:t>空间布局</w:t>
            </w:r>
            <w:r>
              <w:rPr>
                <w:rFonts w:ascii="Times New Roman" w:hAnsi="Times New Roman" w:eastAsia="仿宋"/>
                <w:bCs/>
                <w:color w:val="auto"/>
                <w:w w:val="95"/>
                <w:sz w:val="21"/>
                <w:szCs w:val="21"/>
              </w:rPr>
              <w:t>约束</w:t>
            </w: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（1.1）</w:t>
            </w:r>
            <w:r>
              <w:rPr>
                <w:rStyle w:val="24"/>
                <w:rFonts w:hint="default" w:ascii="Times New Roman" w:hAnsi="Times New Roman" w:cs="Times New Roman"/>
                <w:b w:val="0"/>
                <w:bCs/>
                <w:color w:val="auto"/>
              </w:rPr>
              <w:t>水口山工业园</w:t>
            </w:r>
            <w:r>
              <w:rPr>
                <w:rFonts w:ascii="Times New Roman" w:hAnsi="Times New Roman" w:eastAsia="仿宋" w:cs="Times New Roman"/>
                <w:bCs/>
                <w:color w:val="auto"/>
                <w:kern w:val="0"/>
                <w:sz w:val="21"/>
                <w:szCs w:val="21"/>
              </w:rPr>
              <w:t>：不得设置生活居住区。区域内严格控制新、改、扩建水型涉重污染项目。三类工业用地外围设置 1km 的规划控制距离，其内不得新建学校、医院、居民住宅等环境敏感性建构筑物；有色冶炼区规划控制距离内禁止种植食用部位易富集重金属农作物。</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（1.2）</w:t>
            </w:r>
            <w:r>
              <w:rPr>
                <w:rStyle w:val="24"/>
                <w:rFonts w:hint="default" w:ascii="Times New Roman" w:hAnsi="Times New Roman" w:cs="Times New Roman"/>
                <w:b w:val="0"/>
                <w:bCs/>
                <w:color w:val="auto"/>
              </w:rPr>
              <w:t>宜阳工业园</w:t>
            </w:r>
            <w:r>
              <w:rPr>
                <w:rFonts w:ascii="Times New Roman" w:hAnsi="Times New Roman" w:eastAsia="仿宋" w:cs="Times New Roman"/>
                <w:bCs/>
                <w:color w:val="auto"/>
                <w:kern w:val="0"/>
                <w:sz w:val="21"/>
                <w:szCs w:val="21"/>
              </w:rPr>
              <w:t>：不得建设气型污染严重的项目。</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restar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bCs/>
                <w:color w:val="auto"/>
                <w:sz w:val="21"/>
                <w:szCs w:val="21"/>
              </w:rPr>
              <w:t>污染物排</w:t>
            </w:r>
            <w:r>
              <w:rPr>
                <w:rFonts w:ascii="Times New Roman" w:hAnsi="Times New Roman" w:eastAsia="仿宋"/>
                <w:bCs/>
                <w:color w:val="auto"/>
                <w:w w:val="95"/>
                <w:sz w:val="21"/>
                <w:szCs w:val="21"/>
              </w:rPr>
              <w:t>放管控</w:t>
            </w: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（2.1）废水：园区不得新增涉重金属水污染物排放量；按“雨污分流、污污分流”原则优化区域排水方案。</w:t>
            </w:r>
            <w:r>
              <w:rPr>
                <w:rFonts w:ascii="Times New Roman" w:hAnsi="Times New Roman" w:eastAsia="仿宋" w:cs="Times New Roman"/>
                <w:bCs/>
                <w:color w:val="auto"/>
                <w:kern w:val="0"/>
                <w:sz w:val="21"/>
                <w:szCs w:val="21"/>
              </w:rPr>
              <w:br w:type="textWrapping"/>
            </w:r>
            <w:r>
              <w:rPr>
                <w:rStyle w:val="24"/>
                <w:rFonts w:hint="default" w:ascii="Times New Roman" w:hAnsi="Times New Roman" w:cs="Times New Roman"/>
                <w:b w:val="0"/>
                <w:bCs/>
                <w:color w:val="auto"/>
              </w:rPr>
              <w:t>水口山工业园区：</w:t>
            </w:r>
            <w:r>
              <w:rPr>
                <w:rFonts w:ascii="Times New Roman" w:hAnsi="Times New Roman" w:eastAsia="仿宋" w:cs="Times New Roman"/>
                <w:bCs/>
                <w:color w:val="auto"/>
                <w:kern w:val="0"/>
                <w:sz w:val="21"/>
                <w:szCs w:val="21"/>
              </w:rPr>
              <w:t>园区生产废水、生活污水分别通过排污管网收集后排入园区重金属废水深度处理循环利用工程、松柏生活污水处理工程处理达标后外排湘江，其中涉重金属废水按照项目环评要求执行；铜铅锌产业基地工业废水必须落实零排放要求，对不能直接回用的工业废水必须经深度处理后在企业内部消纳，严禁进入各类自然水体。规划区雨水通过自然排放分别进入湘江、曾家溪和康家溪。</w:t>
            </w:r>
            <w:r>
              <w:rPr>
                <w:rFonts w:ascii="Times New Roman" w:hAnsi="Times New Roman" w:eastAsia="仿宋" w:cs="Times New Roman"/>
                <w:bCs/>
                <w:color w:val="auto"/>
                <w:kern w:val="0"/>
                <w:sz w:val="21"/>
                <w:szCs w:val="21"/>
              </w:rPr>
              <w:br w:type="textWrapping"/>
            </w:r>
            <w:r>
              <w:rPr>
                <w:rStyle w:val="24"/>
                <w:rFonts w:hint="default" w:ascii="Times New Roman" w:hAnsi="Times New Roman" w:cs="Times New Roman"/>
                <w:b w:val="0"/>
                <w:bCs/>
                <w:color w:val="auto"/>
              </w:rPr>
              <w:t>宜阳工业园：</w:t>
            </w:r>
            <w:r>
              <w:rPr>
                <w:rFonts w:ascii="Times New Roman" w:hAnsi="Times New Roman" w:eastAsia="仿宋" w:cs="Times New Roman"/>
                <w:bCs/>
                <w:color w:val="auto"/>
                <w:kern w:val="0"/>
                <w:sz w:val="21"/>
                <w:szCs w:val="21"/>
              </w:rPr>
              <w:t>废水经园区拟建宜阳工业园污水处理厂处理达标后外排潭水；加快园区排水管网、污水处理厂的建设进度，在管网及相应污水处理厂建设完成接管运行前限制水型污染企业引入。园区雨水就近排入潭水，汇入宜水，在柏坊镇汇入湘江。</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2.2）废气：加强经开区大气污染防控措施，对各企业工艺废气排放节点应配置废气收集与净化处理装置，做到达标排放；采取有效措施减少园区内工艺废气的无组织排放。强化末端治理，加快推进有机化工、工业涂装、包装印刷、沥青搅拌等行业企业 VOCs 治理，确保达标排放。交通运输设备制造、汽车制造、工程机械制造和家具制造行业全面实施油性漆改水性漆，减少 VOCs 产生量。</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2.3）固废：做好工业固体废物和生活垃圾的分类收集、转运、综合利用和无害化处理，建立统一的固废收集、贮存、运输、综合利用和安全处置的运营管理体系。推行清洁生产，减少固体废物产生量；加强固体废物的资源化进程，按循环经济要求进一步提高资源综合利用率；规范固体废物处理措施，对工业企业产生固体废物特别是危险固废应按国家有关规定综合利用或妥善处置，严防二次污染。规范园区各企业的危废暂存场所建设，确保满足防风、防雨、防渗要求，防止危废流失。</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（2.4）园区有色金属冶炼、化工等行业及涉锅炉大气污染物排放应满足《湖南省生态环境厅关于执行污染物特别排放限值（第一批）的公告》的要求。到 2020 年，全市重点行业的重点重金属排放量比 2013 年下降 12%。</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restart"/>
            <w:tcBorders>
              <w:tl2br w:val="nil"/>
              <w:tr2bl w:val="nil"/>
            </w:tcBorders>
            <w:vAlign w:val="center"/>
          </w:tcPr>
          <w:p>
            <w:pPr>
              <w:pStyle w:val="25"/>
              <w:spacing w:before="10"/>
              <w:rPr>
                <w:rFonts w:ascii="Times New Roman" w:hAnsi="Times New Roman" w:cs="Times New Roman"/>
                <w:bCs/>
                <w:color w:val="auto"/>
                <w:sz w:val="21"/>
                <w:szCs w:val="21"/>
              </w:rPr>
            </w:pPr>
          </w:p>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bCs/>
                <w:color w:val="auto"/>
                <w:sz w:val="21"/>
                <w:szCs w:val="21"/>
              </w:rPr>
              <w:t>环境风险</w:t>
            </w:r>
            <w:r>
              <w:rPr>
                <w:rFonts w:ascii="Times New Roman" w:hAnsi="Times New Roman" w:eastAsia="仿宋"/>
                <w:bCs/>
                <w:color w:val="auto"/>
                <w:w w:val="95"/>
                <w:sz w:val="21"/>
                <w:szCs w:val="21"/>
              </w:rPr>
              <w:t>防控</w:t>
            </w: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3.1）水口山工业园区应建立健全环境风险防控体系，严格落实《常宁市水口山经济开发区有色金属工业园突发环境事件应急预案》中提出的各项环境风险事故防范措施，严防环境风险事故发生，提高应急处置能力。宜阳工业园尽快完成应急预案编制和备案，严格落实应急预案中提出的各项环境风险事故防范措施，严防环境风险事故发生，提高应急处置能力，开展应急演练。</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3.2）园区可能发生突发环境事件的污染物排放企业，生产、储存、运输、使用危险化学品的企业，产生、收集、贮存、运输、利用、处置危险废物的企业，尾矿库企业等应当编制和实施环境应急预案；鼓励其他企业制定单独的环境应急预案，或在突发事件应急预案中制定环境应急预案专章，并备案。</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3.3）建设用地土壤风险防控：结合土壤污染状况详查情况，根据建设用地土壤环境调查评估及现有重金属污染场地调查结果，逐步建立污染地块名录及其开发利用的负面清单，合理确定土地用途。土地开发利用必须符合土壤环境质量要求。各部门在编制土地利用总体规划、城市总体规划、控制性详细规划等相关规划时，应充分考虑污染地块的环境风险，合理确定土地用途。</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（3.4）农用地风险防控：划定农用地土壤环境质量类别，加大农用地保护力度，禁止在优先保护类耕地集中区域新建有色金属冶炼、有色金属矿采选、化工、电解     锰、电镀、制革、石油加工、农药生产、危险废物经营等行业企业。制定实施受污染耕地安全利用方案，采取农艺调控、化学阻控、替代种植等措施，降低农产品重金属超标风险。</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（3.5）污染地块风险防控：对于园区已确定的污染地块，在修复前，设置标志标识围栏，根据各地块的环境因地制宜采取建设撇洪导流沟渠、地表覆盖等措施减少雨水冲刷等风险管控措施。</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（3.6）园区应推进有毒有害气体预警预报体系建设，提高风险防控能力。</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restar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bCs/>
                <w:color w:val="auto"/>
                <w:sz w:val="21"/>
                <w:szCs w:val="21"/>
              </w:rPr>
              <w:t>资源开发</w:t>
            </w:r>
            <w:r>
              <w:rPr>
                <w:rFonts w:ascii="Times New Roman" w:hAnsi="Times New Roman" w:eastAsia="仿宋"/>
                <w:bCs/>
                <w:color w:val="auto"/>
                <w:w w:val="95"/>
                <w:sz w:val="21"/>
                <w:szCs w:val="21"/>
              </w:rPr>
              <w:t>效率要求</w:t>
            </w: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（4.1）能源：</w:t>
            </w:r>
            <w:r>
              <w:rPr>
                <w:rStyle w:val="24"/>
                <w:rFonts w:hint="default" w:ascii="Times New Roman" w:hAnsi="Times New Roman" w:cs="Times New Roman"/>
                <w:b w:val="0"/>
                <w:bCs/>
                <w:color w:val="auto"/>
              </w:rPr>
              <w:t>水口山工业园</w:t>
            </w:r>
            <w:r>
              <w:rPr>
                <w:rFonts w:ascii="Times New Roman" w:hAnsi="Times New Roman" w:eastAsia="仿宋" w:cs="Times New Roman"/>
                <w:bCs/>
                <w:color w:val="auto"/>
                <w:kern w:val="0"/>
                <w:sz w:val="21"/>
                <w:szCs w:val="21"/>
              </w:rPr>
              <w:t>禁止燃用中、高硫原煤，燃煤含硫量必须控制在 1.0%以下。各分园区新引进企业必须采用天然气等清洁能源并对现有企业进行能源结构清洁化改造。园区应按“湖南省工程建设项目审批制度改革工作领导小组办公室关于印发《工程建设项目区域评估工作实施方案》的通知”，尽快开展节能评估工作。</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（4.2）水资源：强化工业节水，淘汰落后的用水技术、工艺、产品和设备，开展高耗水工业行业节水技术改造， 开展水平衡测试和用水效率评估，大力推广工业水循环利用， 推进节水型企业、节水型工业园区建设。实施最严格水资源管理制度考核，突出用水总量和强度控制目标，到 2020 年，常宁市万元工业增加值用水量比 2015 年下降 32.7%，万元 GDP 用水量应比 2015 年下降 30%。</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4" w:type="pct"/>
            <w:vMerge w:val="continue"/>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p>
        </w:tc>
        <w:tc>
          <w:tcPr>
            <w:tcW w:w="3562" w:type="pct"/>
            <w:tcBorders>
              <w:tl2br w:val="nil"/>
              <w:tr2bl w:val="nil"/>
            </w:tcBorders>
            <w:vAlign w:val="center"/>
          </w:tcPr>
          <w:p>
            <w:pPr>
              <w:widowControl/>
              <w:textAlignment w:val="center"/>
              <w:rPr>
                <w:rFonts w:ascii="Times New Roman" w:hAnsi="Times New Roman" w:eastAsia="仿宋" w:cs="Times New Roman"/>
                <w:bCs/>
                <w:color w:val="auto"/>
                <w:sz w:val="21"/>
                <w:szCs w:val="21"/>
              </w:rPr>
            </w:pPr>
            <w:r>
              <w:rPr>
                <w:rFonts w:ascii="Times New Roman" w:hAnsi="Times New Roman" w:eastAsia="仿宋" w:cs="Times New Roman"/>
                <w:bCs/>
                <w:color w:val="auto"/>
                <w:kern w:val="0"/>
                <w:sz w:val="21"/>
                <w:szCs w:val="21"/>
              </w:rPr>
              <w:t>（4.3）土地资源：提高土地使用效率和节约集约程度，园区土地投资强度达到 3000 万元/公顷。严格执行土地使用标准，工业项目投资强执行《湖南省建设用地指标》（2020 版）十二等区域控制指标要求。</w:t>
            </w:r>
          </w:p>
        </w:tc>
        <w:tc>
          <w:tcPr>
            <w:tcW w:w="793" w:type="pct"/>
            <w:tcBorders>
              <w:tl2br w:val="nil"/>
              <w:tr2bl w:val="nil"/>
            </w:tcBorders>
            <w:vAlign w:val="center"/>
          </w:tcPr>
          <w:p>
            <w:pPr>
              <w:pStyle w:val="8"/>
              <w:snapToGrid w:val="0"/>
              <w:spacing w:after="0"/>
              <w:ind w:left="0" w:leftChars="0" w:firstLine="0" w:firstLineChars="0"/>
              <w:jc w:val="center"/>
              <w:rPr>
                <w:rFonts w:ascii="Times New Roman" w:hAnsi="Times New Roman" w:eastAsia="仿宋"/>
                <w:bCs/>
                <w:color w:val="auto"/>
                <w:sz w:val="21"/>
                <w:szCs w:val="21"/>
              </w:rPr>
            </w:pPr>
            <w:r>
              <w:rPr>
                <w:rFonts w:ascii="Times New Roman" w:hAnsi="Times New Roman" w:eastAsia="仿宋"/>
                <w:color w:val="auto"/>
                <w:sz w:val="21"/>
                <w:szCs w:val="21"/>
              </w:rPr>
              <w:t>已落实</w:t>
            </w:r>
          </w:p>
        </w:tc>
      </w:tr>
    </w:tbl>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（三）水环境管理</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园区配套集中污水处理设施</w:t>
      </w:r>
      <w:r>
        <w:rPr>
          <w:rFonts w:ascii="Times New Roman" w:hAnsi="Times New Roman" w:eastAsia="仿宋"/>
          <w:color w:val="auto"/>
          <w:szCs w:val="32"/>
          <w:u w:val="single"/>
        </w:rPr>
        <w:t>2</w:t>
      </w:r>
      <w:r>
        <w:rPr>
          <w:rFonts w:ascii="Times New Roman" w:hAnsi="Times New Roman" w:eastAsia="仿宋"/>
          <w:color w:val="auto"/>
          <w:szCs w:val="32"/>
        </w:rPr>
        <w:t>个，园区污水管网覆盖率为</w:t>
      </w:r>
      <w:r>
        <w:rPr>
          <w:rFonts w:ascii="Times New Roman" w:hAnsi="Times New Roman" w:eastAsia="仿宋"/>
          <w:color w:val="auto"/>
          <w:szCs w:val="32"/>
          <w:u w:val="single"/>
        </w:rPr>
        <w:t>100%</w:t>
      </w:r>
      <w:r>
        <w:rPr>
          <w:rFonts w:ascii="Times New Roman" w:hAnsi="Times New Roman" w:eastAsia="仿宋"/>
          <w:color w:val="auto"/>
          <w:szCs w:val="32"/>
        </w:rPr>
        <w:t>。其中第一个集中污水处理设施名称为</w:t>
      </w:r>
      <w:r>
        <w:rPr>
          <w:rFonts w:ascii="Times New Roman" w:hAnsi="Times New Roman" w:eastAsia="仿宋"/>
          <w:color w:val="auto"/>
          <w:szCs w:val="32"/>
          <w:u w:val="single" w:color="000000" w:themeColor="text1"/>
        </w:rPr>
        <w:t>常宁市松柏镇污水处理厂</w:t>
      </w:r>
      <w:r>
        <w:rPr>
          <w:rFonts w:ascii="Times New Roman" w:hAnsi="Times New Roman" w:eastAsia="仿宋"/>
          <w:color w:val="auto"/>
          <w:szCs w:val="32"/>
        </w:rPr>
        <w:t>，设计处理规模为</w:t>
      </w:r>
      <w:r>
        <w:rPr>
          <w:rFonts w:ascii="Times New Roman" w:hAnsi="Times New Roman" w:eastAsia="仿宋"/>
          <w:color w:val="auto"/>
          <w:szCs w:val="32"/>
          <w:u w:val="single"/>
        </w:rPr>
        <w:t>1000</w:t>
      </w:r>
      <w:r>
        <w:rPr>
          <w:rFonts w:hint="eastAsia" w:ascii="Times New Roman" w:hAnsi="Times New Roman" w:eastAsia="仿宋"/>
          <w:color w:val="auto"/>
          <w:szCs w:val="32"/>
          <w:u w:val="single"/>
        </w:rPr>
        <w:t>0</w:t>
      </w:r>
      <w:r>
        <w:rPr>
          <w:rFonts w:ascii="Times New Roman" w:hAnsi="Times New Roman" w:eastAsia="仿宋"/>
          <w:color w:val="auto"/>
          <w:szCs w:val="32"/>
        </w:rPr>
        <w:t>m³/d，实际处理规模为</w:t>
      </w:r>
      <w:r>
        <w:rPr>
          <w:rFonts w:hint="eastAsia" w:ascii="Times New Roman" w:hAnsi="Times New Roman" w:eastAsia="仿宋"/>
          <w:color w:val="auto"/>
          <w:szCs w:val="32"/>
          <w:u w:val="single"/>
        </w:rPr>
        <w:t>6651.4</w:t>
      </w:r>
      <w:r>
        <w:rPr>
          <w:rFonts w:ascii="Times New Roman" w:hAnsi="Times New Roman" w:eastAsia="仿宋"/>
          <w:color w:val="auto"/>
          <w:szCs w:val="32"/>
        </w:rPr>
        <w:t>m³/d，污水处理工艺为</w:t>
      </w:r>
      <w:r>
        <w:rPr>
          <w:rFonts w:ascii="Times New Roman" w:hAnsi="Times New Roman" w:eastAsia="仿宋"/>
          <w:color w:val="auto"/>
          <w:szCs w:val="32"/>
          <w:u w:val="single"/>
        </w:rPr>
        <w:t>AAO工艺，</w:t>
      </w:r>
      <w:r>
        <w:rPr>
          <w:rFonts w:ascii="Times New Roman" w:hAnsi="Times New Roman" w:eastAsia="仿宋"/>
          <w:color w:val="auto"/>
          <w:szCs w:val="32"/>
        </w:rPr>
        <w:t>在线监测达标率</w:t>
      </w:r>
      <w:r>
        <w:rPr>
          <w:rFonts w:ascii="Times New Roman" w:hAnsi="Times New Roman" w:eastAsia="仿宋"/>
          <w:color w:val="auto"/>
          <w:szCs w:val="32"/>
          <w:u w:val="single" w:color="000000" w:themeColor="text1"/>
        </w:rPr>
        <w:t>100</w:t>
      </w:r>
      <w:r>
        <w:rPr>
          <w:rFonts w:ascii="Times New Roman" w:hAnsi="Times New Roman" w:eastAsia="仿宋"/>
          <w:color w:val="auto"/>
          <w:szCs w:val="32"/>
        </w:rPr>
        <w:t>%，园区雨水管网覆盖率</w:t>
      </w:r>
      <w:r>
        <w:rPr>
          <w:rFonts w:ascii="Times New Roman" w:hAnsi="Times New Roman" w:eastAsia="仿宋"/>
          <w:color w:val="auto"/>
          <w:szCs w:val="32"/>
          <w:u w:val="single" w:color="000000" w:themeColor="text1"/>
        </w:rPr>
        <w:t>100</w:t>
      </w:r>
      <w:r>
        <w:rPr>
          <w:rFonts w:ascii="Times New Roman" w:hAnsi="Times New Roman" w:eastAsia="仿宋"/>
          <w:color w:val="auto"/>
          <w:szCs w:val="32"/>
        </w:rPr>
        <w:t>%。</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第二个集中污水处理设施名称为</w:t>
      </w:r>
      <w:r>
        <w:rPr>
          <w:rFonts w:ascii="Times New Roman" w:hAnsi="Times New Roman" w:eastAsia="仿宋"/>
          <w:color w:val="auto"/>
          <w:szCs w:val="32"/>
          <w:u w:val="single" w:color="000000" w:themeColor="text1"/>
        </w:rPr>
        <w:t>水口山工业污水厂</w:t>
      </w:r>
      <w:r>
        <w:rPr>
          <w:rFonts w:ascii="Times New Roman" w:hAnsi="Times New Roman" w:eastAsia="仿宋"/>
          <w:color w:val="auto"/>
          <w:szCs w:val="32"/>
        </w:rPr>
        <w:t>，设计处理规模为</w:t>
      </w:r>
      <w:r>
        <w:rPr>
          <w:rFonts w:ascii="Times New Roman" w:hAnsi="Times New Roman" w:eastAsia="仿宋"/>
          <w:color w:val="auto"/>
          <w:szCs w:val="32"/>
          <w:u w:val="single"/>
        </w:rPr>
        <w:t>1</w:t>
      </w:r>
      <w:r>
        <w:rPr>
          <w:rFonts w:hint="eastAsia" w:ascii="Times New Roman" w:hAnsi="Times New Roman" w:eastAsia="仿宋"/>
          <w:color w:val="auto"/>
          <w:szCs w:val="32"/>
          <w:u w:val="single"/>
        </w:rPr>
        <w:t>0</w:t>
      </w:r>
      <w:r>
        <w:rPr>
          <w:rFonts w:ascii="Times New Roman" w:hAnsi="Times New Roman" w:eastAsia="仿宋"/>
          <w:color w:val="auto"/>
          <w:szCs w:val="32"/>
          <w:u w:val="single"/>
        </w:rPr>
        <w:t>000</w:t>
      </w:r>
      <w:r>
        <w:rPr>
          <w:rFonts w:ascii="Times New Roman" w:hAnsi="Times New Roman" w:eastAsia="仿宋"/>
          <w:color w:val="auto"/>
          <w:szCs w:val="32"/>
        </w:rPr>
        <w:t>m³/d，实际处理规模为</w:t>
      </w:r>
      <w:r>
        <w:rPr>
          <w:rFonts w:hint="eastAsia" w:ascii="Times New Roman" w:hAnsi="Times New Roman" w:eastAsia="仿宋"/>
          <w:color w:val="auto"/>
          <w:szCs w:val="32"/>
          <w:u w:val="single" w:color="000000" w:themeColor="text1"/>
        </w:rPr>
        <w:t>2283.2</w:t>
      </w:r>
      <w:r>
        <w:rPr>
          <w:rFonts w:ascii="Times New Roman" w:hAnsi="Times New Roman" w:eastAsia="仿宋"/>
          <w:color w:val="auto"/>
          <w:szCs w:val="32"/>
        </w:rPr>
        <w:t>m³/d，污水处理工艺为</w:t>
      </w:r>
      <w:r>
        <w:rPr>
          <w:rFonts w:ascii="Times New Roman" w:hAnsi="Times New Roman" w:eastAsia="仿宋"/>
          <w:color w:val="auto"/>
          <w:szCs w:val="32"/>
          <w:u w:val="single"/>
        </w:rPr>
        <w:t>（沉砂+调节）+化学沉淀+超滤的组合工艺，</w:t>
      </w:r>
      <w:r>
        <w:rPr>
          <w:rFonts w:ascii="Times New Roman" w:hAnsi="Times New Roman" w:eastAsia="仿宋"/>
          <w:color w:val="auto"/>
          <w:szCs w:val="32"/>
        </w:rPr>
        <w:t>在线监测达标率</w:t>
      </w:r>
      <w:r>
        <w:rPr>
          <w:rFonts w:ascii="Times New Roman" w:hAnsi="Times New Roman" w:eastAsia="仿宋"/>
          <w:color w:val="auto"/>
          <w:szCs w:val="32"/>
          <w:u w:val="single" w:color="000000" w:themeColor="text1"/>
        </w:rPr>
        <w:t>100</w:t>
      </w:r>
      <w:r>
        <w:rPr>
          <w:rFonts w:ascii="Times New Roman" w:hAnsi="Times New Roman" w:eastAsia="仿宋"/>
          <w:color w:val="auto"/>
          <w:szCs w:val="32"/>
        </w:rPr>
        <w:t>%，园区雨水管网覆盖率</w:t>
      </w:r>
      <w:r>
        <w:rPr>
          <w:rFonts w:ascii="Times New Roman" w:hAnsi="Times New Roman" w:eastAsia="仿宋"/>
          <w:color w:val="auto"/>
          <w:szCs w:val="32"/>
          <w:u w:val="single" w:color="000000" w:themeColor="text1"/>
        </w:rPr>
        <w:t>100</w:t>
      </w:r>
      <w:r>
        <w:rPr>
          <w:rFonts w:ascii="Times New Roman" w:hAnsi="Times New Roman" w:eastAsia="仿宋"/>
          <w:color w:val="auto"/>
          <w:szCs w:val="32"/>
        </w:rPr>
        <w:t>%。</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园区内涉及工业废水外排</w:t>
      </w:r>
      <w:r>
        <w:rPr>
          <w:rFonts w:ascii="Times New Roman" w:hAnsi="Times New Roman" w:eastAsia="仿宋"/>
          <w:color w:val="auto"/>
          <w:szCs w:val="32"/>
        </w:rPr>
        <w:t>企业数量</w:t>
      </w:r>
      <w:r>
        <w:rPr>
          <w:rFonts w:hint="eastAsia" w:ascii="Times New Roman" w:hAnsi="Times New Roman" w:eastAsia="仿宋"/>
          <w:color w:val="auto"/>
          <w:szCs w:val="32"/>
          <w:u w:val="single" w:color="000000" w:themeColor="text1"/>
          <w:lang w:val="en-US" w:eastAsia="zh-CN"/>
        </w:rPr>
        <w:t>4</w:t>
      </w:r>
      <w:r>
        <w:rPr>
          <w:rFonts w:ascii="Times New Roman" w:hAnsi="Times New Roman" w:eastAsia="仿宋"/>
          <w:color w:val="auto"/>
          <w:szCs w:val="32"/>
        </w:rPr>
        <w:t>个，工业废水总排放量</w:t>
      </w:r>
      <w:r>
        <w:rPr>
          <w:rFonts w:ascii="Times New Roman" w:hAnsi="Times New Roman" w:eastAsia="仿宋"/>
          <w:color w:val="auto"/>
          <w:szCs w:val="32"/>
          <w:u w:val="single" w:color="000000" w:themeColor="text1"/>
        </w:rPr>
        <w:t>2283</w:t>
      </w:r>
      <w:r>
        <w:rPr>
          <w:rFonts w:hint="eastAsia" w:ascii="Times New Roman" w:hAnsi="Times New Roman" w:eastAsia="仿宋"/>
          <w:color w:val="auto"/>
          <w:szCs w:val="32"/>
          <w:u w:val="single" w:color="000000" w:themeColor="text1"/>
        </w:rPr>
        <w:t>.2</w:t>
      </w:r>
      <w:r>
        <w:rPr>
          <w:rFonts w:ascii="Times New Roman" w:hAnsi="Times New Roman" w:eastAsia="仿宋"/>
          <w:color w:val="auto"/>
          <w:szCs w:val="32"/>
        </w:rPr>
        <w:t>m³/d，外排污水纳管企业数量</w:t>
      </w:r>
      <w:r>
        <w:rPr>
          <w:rFonts w:ascii="Times New Roman" w:hAnsi="Times New Roman" w:eastAsia="仿宋"/>
          <w:color w:val="auto"/>
          <w:szCs w:val="32"/>
          <w:u w:val="single" w:color="000000" w:themeColor="text1"/>
        </w:rPr>
        <w:t>2</w:t>
      </w:r>
      <w:r>
        <w:rPr>
          <w:rFonts w:ascii="Times New Roman" w:hAnsi="Times New Roman" w:eastAsia="仿宋"/>
          <w:color w:val="auto"/>
          <w:szCs w:val="32"/>
        </w:rPr>
        <w:t>个，污水集中处理比例</w:t>
      </w:r>
      <w:r>
        <w:rPr>
          <w:rFonts w:ascii="Times New Roman" w:hAnsi="Times New Roman" w:eastAsia="仿宋"/>
          <w:color w:val="auto"/>
          <w:szCs w:val="32"/>
          <w:u w:val="single" w:color="000000" w:themeColor="text1"/>
        </w:rPr>
        <w:t>100</w:t>
      </w:r>
      <w:r>
        <w:rPr>
          <w:rFonts w:ascii="Times New Roman" w:hAnsi="Times New Roman" w:eastAsia="仿宋"/>
          <w:color w:val="auto"/>
          <w:szCs w:val="32"/>
        </w:rPr>
        <w:t>%（按外排水量计），涉一类污染物排放企业车间排口达标情况及在线监测情况。</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园区年度水污染物总排放量：化学需氧量</w:t>
      </w:r>
      <w:r>
        <w:rPr>
          <w:rFonts w:ascii="Times New Roman" w:hAnsi="Times New Roman" w:eastAsia="仿宋"/>
          <w:color w:val="auto"/>
          <w:szCs w:val="32"/>
          <w:u w:val="single" w:color="000000" w:themeColor="text1"/>
        </w:rPr>
        <w:t>40.38</w:t>
      </w:r>
      <w:r>
        <w:rPr>
          <w:rFonts w:ascii="Times New Roman" w:hAnsi="Times New Roman" w:eastAsia="仿宋"/>
          <w:color w:val="auto"/>
          <w:szCs w:val="32"/>
        </w:rPr>
        <w:t>t/a，氨氮</w:t>
      </w:r>
      <w:r>
        <w:rPr>
          <w:rFonts w:ascii="Times New Roman" w:hAnsi="Times New Roman" w:eastAsia="仿宋"/>
          <w:color w:val="auto"/>
          <w:szCs w:val="32"/>
          <w:u w:val="single" w:color="000000" w:themeColor="text1"/>
        </w:rPr>
        <w:t>3.954</w:t>
      </w:r>
      <w:r>
        <w:rPr>
          <w:rFonts w:ascii="Times New Roman" w:hAnsi="Times New Roman" w:eastAsia="仿宋"/>
          <w:color w:val="auto"/>
          <w:szCs w:val="32"/>
        </w:rPr>
        <w:t>t/a，其他因子（重金属等）</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rPr>
        <w:t>/</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排污口下游最近的地表水水质管控断面名称</w:t>
      </w:r>
      <w:r>
        <w:rPr>
          <w:rFonts w:hint="eastAsia" w:ascii="Times New Roman" w:hAnsi="Times New Roman" w:eastAsia="仿宋"/>
          <w:color w:val="auto"/>
          <w:szCs w:val="32"/>
          <w:u w:val="single"/>
        </w:rPr>
        <w:t>松柏断面</w:t>
      </w:r>
      <w:r>
        <w:rPr>
          <w:rFonts w:ascii="Times New Roman" w:hAnsi="Times New Roman" w:eastAsia="仿宋"/>
          <w:color w:val="auto"/>
          <w:szCs w:val="32"/>
        </w:rPr>
        <w:t>，水功能区划</w:t>
      </w:r>
      <w:r>
        <w:rPr>
          <w:rFonts w:ascii="Times New Roman" w:hAnsi="Times New Roman" w:eastAsia="仿宋"/>
          <w:color w:val="auto"/>
          <w:szCs w:val="32"/>
          <w:u w:val="single"/>
        </w:rPr>
        <w:t xml:space="preserve"> </w:t>
      </w:r>
      <w:r>
        <w:rPr>
          <w:rFonts w:hint="eastAsia" w:ascii="宋体" w:hAnsi="宋体" w:eastAsia="宋体" w:cs="宋体"/>
          <w:color w:val="auto"/>
          <w:szCs w:val="32"/>
          <w:u w:val="single"/>
        </w:rPr>
        <w:t>Ⅲ</w:t>
      </w:r>
      <w:r>
        <w:rPr>
          <w:rFonts w:ascii="Times New Roman" w:hAnsi="Times New Roman" w:eastAsia="仿宋"/>
          <w:color w:val="auto"/>
          <w:szCs w:val="32"/>
          <w:u w:val="single"/>
        </w:rPr>
        <w:t xml:space="preserve"> </w:t>
      </w:r>
      <w:r>
        <w:rPr>
          <w:rFonts w:ascii="Times New Roman" w:hAnsi="Times New Roman" w:eastAsia="仿宋"/>
          <w:color w:val="auto"/>
          <w:szCs w:val="32"/>
        </w:rPr>
        <w:t>类，监测达标率</w:t>
      </w:r>
      <w:r>
        <w:rPr>
          <w:rFonts w:ascii="Times New Roman" w:hAnsi="Times New Roman" w:eastAsia="仿宋"/>
          <w:color w:val="auto"/>
          <w:szCs w:val="32"/>
          <w:u w:val="single"/>
        </w:rPr>
        <w:t xml:space="preserve"> </w:t>
      </w:r>
      <w:r>
        <w:rPr>
          <w:rFonts w:hint="eastAsia" w:ascii="Times New Roman" w:hAnsi="Times New Roman" w:eastAsia="仿宋"/>
          <w:color w:val="auto"/>
          <w:szCs w:val="32"/>
          <w:u w:val="single"/>
          <w:lang w:val="en-US" w:eastAsia="zh-CN"/>
        </w:rPr>
        <w:t>100</w:t>
      </w:r>
      <w:r>
        <w:rPr>
          <w:rFonts w:ascii="Times New Roman" w:hAnsi="Times New Roman" w:eastAsia="仿宋"/>
          <w:color w:val="auto"/>
          <w:szCs w:val="32"/>
        </w:rPr>
        <w:t>%，超标因子</w:t>
      </w:r>
      <w:r>
        <w:rPr>
          <w:rFonts w:ascii="Times New Roman" w:hAnsi="Times New Roman" w:eastAsia="仿宋"/>
          <w:color w:val="auto"/>
          <w:szCs w:val="32"/>
          <w:u w:val="single"/>
        </w:rPr>
        <w:t xml:space="preserve"> </w:t>
      </w:r>
      <w:r>
        <w:rPr>
          <w:rFonts w:hint="eastAsia" w:ascii="Times New Roman" w:hAnsi="Times New Roman" w:eastAsia="仿宋"/>
          <w:color w:val="auto"/>
          <w:szCs w:val="32"/>
          <w:u w:val="single"/>
          <w:lang w:val="en-US" w:eastAsia="zh-CN"/>
        </w:rPr>
        <w:t>/</w:t>
      </w:r>
      <w:r>
        <w:rPr>
          <w:rFonts w:ascii="Times New Roman" w:hAnsi="Times New Roman" w:eastAsia="仿宋"/>
          <w:color w:val="auto"/>
          <w:szCs w:val="32"/>
          <w:u w:val="single"/>
        </w:rPr>
        <w:t xml:space="preserve"> </w:t>
      </w:r>
      <w:r>
        <w:rPr>
          <w:rFonts w:ascii="Times New Roman" w:hAnsi="Times New Roman" w:eastAsia="仿宋"/>
          <w:color w:val="auto"/>
          <w:szCs w:val="32"/>
        </w:rPr>
        <w:t>，最大超标倍数</w:t>
      </w:r>
      <w:r>
        <w:rPr>
          <w:rFonts w:hint="eastAsia" w:ascii="Times New Roman" w:hAnsi="Times New Roman" w:eastAsia="仿宋"/>
          <w:color w:val="auto"/>
          <w:szCs w:val="32"/>
          <w:u w:val="single"/>
          <w:lang w:val="en-US" w:eastAsia="zh-CN"/>
        </w:rPr>
        <w:t>/</w:t>
      </w:r>
      <w:r>
        <w:rPr>
          <w:rFonts w:ascii="Times New Roman" w:hAnsi="Times New Roman" w:eastAsia="仿宋"/>
          <w:color w:val="auto"/>
          <w:szCs w:val="32"/>
          <w:u w:val="single"/>
        </w:rPr>
        <w:t xml:space="preserve"> </w:t>
      </w:r>
      <w:r>
        <w:rPr>
          <w:rFonts w:ascii="Times New Roman" w:hAnsi="Times New Roman" w:eastAsia="仿宋"/>
          <w:color w:val="auto"/>
          <w:szCs w:val="32"/>
        </w:rPr>
        <w:t>倍。</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“双源”地下水监测建设情况及监测结果自评。</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园区内涉及黑臭水体数量</w:t>
      </w:r>
      <w:r>
        <w:rPr>
          <w:rFonts w:ascii="Times New Roman" w:hAnsi="Times New Roman" w:eastAsia="仿宋"/>
          <w:color w:val="auto"/>
          <w:szCs w:val="32"/>
          <w:u w:val="single"/>
        </w:rPr>
        <w:t>0</w:t>
      </w:r>
      <w:r>
        <w:rPr>
          <w:rFonts w:ascii="Times New Roman" w:hAnsi="Times New Roman" w:eastAsia="仿宋"/>
          <w:color w:val="auto"/>
          <w:szCs w:val="32"/>
        </w:rPr>
        <w:t>个，已完成整治</w:t>
      </w:r>
      <w:r>
        <w:rPr>
          <w:rFonts w:ascii="Times New Roman" w:hAnsi="Times New Roman" w:eastAsia="仿宋"/>
          <w:color w:val="auto"/>
          <w:szCs w:val="32"/>
          <w:u w:val="single"/>
        </w:rPr>
        <w:t xml:space="preserve"> / </w:t>
      </w:r>
      <w:r>
        <w:rPr>
          <w:rFonts w:ascii="Times New Roman" w:hAnsi="Times New Roman" w:eastAsia="仿宋"/>
          <w:color w:val="auto"/>
          <w:szCs w:val="32"/>
        </w:rPr>
        <w:t>个，未开工的</w:t>
      </w:r>
      <w:r>
        <w:rPr>
          <w:rFonts w:ascii="Times New Roman" w:hAnsi="Times New Roman" w:eastAsia="仿宋"/>
          <w:color w:val="auto"/>
          <w:szCs w:val="32"/>
          <w:u w:val="single"/>
        </w:rPr>
        <w:t xml:space="preserve"> 0 </w:t>
      </w:r>
      <w:r>
        <w:rPr>
          <w:rFonts w:ascii="Times New Roman" w:hAnsi="Times New Roman" w:eastAsia="仿宋"/>
          <w:color w:val="auto"/>
          <w:szCs w:val="32"/>
        </w:rPr>
        <w:t>个，修复中的</w:t>
      </w:r>
      <w:r>
        <w:rPr>
          <w:rFonts w:ascii="Times New Roman" w:hAnsi="Times New Roman" w:eastAsia="仿宋"/>
          <w:color w:val="auto"/>
          <w:szCs w:val="32"/>
          <w:u w:val="single"/>
        </w:rPr>
        <w:t>0</w:t>
      </w:r>
      <w:r>
        <w:rPr>
          <w:rFonts w:ascii="Times New Roman" w:hAnsi="Times New Roman" w:eastAsia="仿宋"/>
          <w:color w:val="auto"/>
          <w:szCs w:val="32"/>
        </w:rPr>
        <w:t>个。</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（四）大气环境管理</w:t>
      </w:r>
    </w:p>
    <w:p>
      <w:pPr>
        <w:pStyle w:val="8"/>
        <w:snapToGrid w:val="0"/>
        <w:spacing w:after="0" w:line="600" w:lineRule="exact"/>
        <w:ind w:left="0" w:leftChars="0" w:firstLine="640"/>
        <w:rPr>
          <w:rFonts w:hint="eastAsia" w:ascii="Times New Roman" w:hAnsi="Times New Roman" w:eastAsia="仿宋"/>
          <w:color w:val="auto"/>
          <w:szCs w:val="32"/>
        </w:rPr>
      </w:pPr>
      <w:r>
        <w:rPr>
          <w:rFonts w:ascii="Times New Roman" w:hAnsi="Times New Roman" w:eastAsia="仿宋"/>
          <w:color w:val="auto"/>
          <w:szCs w:val="32"/>
        </w:rPr>
        <w:t>园区内涉及工业废气外排企业数量</w:t>
      </w:r>
      <w:r>
        <w:rPr>
          <w:rFonts w:hint="eastAsia" w:ascii="Times New Roman" w:hAnsi="Times New Roman" w:eastAsia="仿宋"/>
          <w:color w:val="auto"/>
          <w:szCs w:val="32"/>
          <w:u w:val="single" w:color="000000" w:themeColor="text1"/>
          <w:lang w:val="en-US" w:eastAsia="zh-CN"/>
        </w:rPr>
        <w:t>8</w:t>
      </w:r>
      <w:r>
        <w:rPr>
          <w:rFonts w:ascii="Times New Roman" w:hAnsi="Times New Roman" w:eastAsia="仿宋"/>
          <w:color w:val="auto"/>
          <w:szCs w:val="32"/>
        </w:rPr>
        <w:t>个，大气质量监测达标率</w:t>
      </w:r>
      <w:r>
        <w:rPr>
          <w:rFonts w:ascii="Times New Roman" w:hAnsi="Times New Roman" w:eastAsia="仿宋"/>
          <w:color w:val="auto"/>
          <w:szCs w:val="32"/>
          <w:u w:val="single"/>
        </w:rPr>
        <w:t>100</w:t>
      </w:r>
      <w:r>
        <w:rPr>
          <w:rFonts w:ascii="Times New Roman" w:hAnsi="Times New Roman" w:eastAsia="仿宋"/>
          <w:color w:val="auto"/>
          <w:szCs w:val="32"/>
        </w:rPr>
        <w:t>%，超标因子</w:t>
      </w:r>
      <w:r>
        <w:rPr>
          <w:rFonts w:ascii="Times New Roman" w:hAnsi="Times New Roman" w:eastAsia="仿宋"/>
          <w:color w:val="auto"/>
          <w:szCs w:val="32"/>
          <w:u w:val="single"/>
        </w:rPr>
        <w:t xml:space="preserve"> 无 </w:t>
      </w:r>
      <w:r>
        <w:rPr>
          <w:rFonts w:ascii="Times New Roman" w:hAnsi="Times New Roman" w:eastAsia="仿宋"/>
          <w:color w:val="auto"/>
          <w:szCs w:val="32"/>
        </w:rPr>
        <w:t>，最大超标倍数</w:t>
      </w:r>
      <w:r>
        <w:rPr>
          <w:rFonts w:ascii="Times New Roman" w:hAnsi="Times New Roman" w:eastAsia="仿宋"/>
          <w:color w:val="auto"/>
          <w:szCs w:val="32"/>
          <w:u w:val="single"/>
        </w:rPr>
        <w:t xml:space="preserve"> 0 </w:t>
      </w:r>
      <w:r>
        <w:rPr>
          <w:rFonts w:ascii="Times New Roman" w:hAnsi="Times New Roman" w:eastAsia="仿宋"/>
          <w:color w:val="auto"/>
          <w:szCs w:val="32"/>
        </w:rPr>
        <w:t>倍。大气污染物总排放量：二氧化硫</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899.89</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t/a，氮氧化物</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358.62</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t/a，VOCs</w:t>
      </w:r>
      <w:r>
        <w:rPr>
          <w:rFonts w:ascii="Times New Roman" w:hAnsi="Times New Roman" w:eastAsia="仿宋"/>
          <w:color w:val="auto"/>
          <w:szCs w:val="32"/>
          <w:u w:val="single" w:color="000000" w:themeColor="text1"/>
        </w:rPr>
        <w:t xml:space="preserve"> / </w:t>
      </w:r>
      <w:r>
        <w:rPr>
          <w:rFonts w:ascii="Times New Roman" w:hAnsi="Times New Roman" w:eastAsia="仿宋"/>
          <w:color w:val="auto"/>
          <w:szCs w:val="32"/>
        </w:rPr>
        <w:t>t/a，其他</w:t>
      </w:r>
      <w:r>
        <w:rPr>
          <w:rFonts w:ascii="Times New Roman" w:hAnsi="Times New Roman" w:eastAsia="仿宋"/>
          <w:color w:val="auto"/>
          <w:szCs w:val="32"/>
          <w:u w:val="single" w:color="000000" w:themeColor="text1"/>
        </w:rPr>
        <w:t xml:space="preserve"> </w:t>
      </w:r>
      <w:r>
        <w:rPr>
          <w:rFonts w:hint="eastAsia" w:ascii="Times New Roman" w:hAnsi="Times New Roman" w:eastAsia="仿宋"/>
          <w:color w:val="auto"/>
          <w:szCs w:val="32"/>
          <w:u w:val="single" w:color="000000" w:themeColor="text1"/>
          <w:lang w:val="en-US" w:eastAsia="zh-CN"/>
        </w:rPr>
        <w:t>/</w:t>
      </w:r>
      <w:r>
        <w:rPr>
          <w:rFonts w:ascii="Times New Roman" w:hAnsi="Times New Roman" w:eastAsia="仿宋"/>
          <w:color w:val="auto"/>
          <w:szCs w:val="32"/>
          <w:u w:val="single" w:color="000000" w:themeColor="text1"/>
        </w:rPr>
        <w:t xml:space="preserve"> </w:t>
      </w:r>
      <w:r>
        <w:rPr>
          <w:rFonts w:ascii="Times New Roman" w:hAnsi="Times New Roman" w:eastAsia="仿宋"/>
          <w:color w:val="auto"/>
          <w:szCs w:val="32"/>
        </w:rPr>
        <w:t>t/a。</w:t>
      </w:r>
    </w:p>
    <w:p>
      <w:pPr>
        <w:pStyle w:val="8"/>
        <w:snapToGrid w:val="0"/>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目前，园区内已建成3</w:t>
      </w:r>
      <w:r>
        <w:rPr>
          <w:rFonts w:ascii="Times New Roman" w:hAnsi="Times New Roman" w:eastAsia="仿宋"/>
          <w:color w:val="auto"/>
          <w:szCs w:val="32"/>
        </w:rPr>
        <w:t>个网格化监测微型站，分别</w:t>
      </w:r>
      <w:r>
        <w:rPr>
          <w:rFonts w:hint="eastAsia" w:ascii="Times New Roman" w:hAnsi="Times New Roman" w:eastAsia="仿宋"/>
          <w:color w:val="auto"/>
          <w:szCs w:val="32"/>
        </w:rPr>
        <w:t>位于二医院</w:t>
      </w:r>
      <w:r>
        <w:rPr>
          <w:rFonts w:ascii="Times New Roman" w:hAnsi="Times New Roman" w:eastAsia="仿宋"/>
          <w:color w:val="auto"/>
          <w:szCs w:val="32"/>
        </w:rPr>
        <w:t>、</w:t>
      </w:r>
      <w:r>
        <w:rPr>
          <w:rFonts w:hint="eastAsia" w:ascii="Times New Roman" w:hAnsi="Times New Roman" w:eastAsia="仿宋"/>
          <w:color w:val="auto"/>
          <w:szCs w:val="32"/>
        </w:rPr>
        <w:t>希望中学、经开区管委会</w:t>
      </w:r>
      <w:r>
        <w:rPr>
          <w:rFonts w:ascii="Times New Roman" w:hAnsi="Times New Roman" w:eastAsia="仿宋"/>
          <w:color w:val="auto"/>
          <w:szCs w:val="32"/>
        </w:rPr>
        <w:t>。</w:t>
      </w:r>
      <w:r>
        <w:rPr>
          <w:rFonts w:hint="eastAsia" w:ascii="Times New Roman" w:hAnsi="Times New Roman" w:eastAsia="仿宋"/>
          <w:color w:val="auto"/>
          <w:szCs w:val="32"/>
        </w:rPr>
        <w:t>监测因子为PM</w:t>
      </w:r>
      <w:r>
        <w:rPr>
          <w:rFonts w:hint="eastAsia" w:ascii="Times New Roman" w:hAnsi="Times New Roman" w:eastAsia="仿宋"/>
          <w:color w:val="auto"/>
          <w:szCs w:val="32"/>
          <w:vertAlign w:val="subscript"/>
        </w:rPr>
        <w:t>2.5</w:t>
      </w:r>
      <w:r>
        <w:rPr>
          <w:rFonts w:hint="eastAsia" w:ascii="Times New Roman" w:hAnsi="Times New Roman" w:eastAsia="仿宋"/>
          <w:color w:val="auto"/>
          <w:szCs w:val="32"/>
        </w:rPr>
        <w:t>、PM</w:t>
      </w:r>
      <w:r>
        <w:rPr>
          <w:rFonts w:hint="eastAsia" w:ascii="Times New Roman" w:hAnsi="Times New Roman" w:eastAsia="仿宋"/>
          <w:color w:val="auto"/>
          <w:szCs w:val="32"/>
          <w:vertAlign w:val="subscript"/>
        </w:rPr>
        <w:t>10</w:t>
      </w:r>
      <w:r>
        <w:rPr>
          <w:rFonts w:hint="eastAsia" w:ascii="Times New Roman" w:hAnsi="Times New Roman" w:eastAsia="仿宋"/>
          <w:color w:val="auto"/>
          <w:szCs w:val="32"/>
        </w:rPr>
        <w:t>、SO</w:t>
      </w:r>
      <w:r>
        <w:rPr>
          <w:rFonts w:hint="eastAsia" w:ascii="Times New Roman" w:hAnsi="Times New Roman" w:eastAsia="仿宋"/>
          <w:color w:val="auto"/>
          <w:szCs w:val="32"/>
          <w:vertAlign w:val="subscript"/>
        </w:rPr>
        <w:t>2</w:t>
      </w:r>
      <w:r>
        <w:rPr>
          <w:rFonts w:hint="eastAsia" w:ascii="Times New Roman" w:hAnsi="Times New Roman" w:eastAsia="仿宋"/>
          <w:color w:val="auto"/>
          <w:szCs w:val="32"/>
        </w:rPr>
        <w:t>、NO</w:t>
      </w:r>
      <w:r>
        <w:rPr>
          <w:rFonts w:hint="eastAsia" w:ascii="Times New Roman" w:hAnsi="Times New Roman" w:eastAsia="仿宋"/>
          <w:color w:val="auto"/>
          <w:szCs w:val="32"/>
          <w:vertAlign w:val="subscript"/>
        </w:rPr>
        <w:t>2</w:t>
      </w:r>
      <w:r>
        <w:rPr>
          <w:rFonts w:hint="eastAsia" w:ascii="Times New Roman" w:hAnsi="Times New Roman" w:eastAsia="仿宋"/>
          <w:color w:val="auto"/>
          <w:szCs w:val="32"/>
        </w:rPr>
        <w:t>、O</w:t>
      </w:r>
      <w:r>
        <w:rPr>
          <w:rFonts w:hint="eastAsia" w:ascii="Times New Roman" w:hAnsi="Times New Roman" w:eastAsia="仿宋"/>
          <w:color w:val="auto"/>
          <w:szCs w:val="32"/>
          <w:vertAlign w:val="subscript"/>
        </w:rPr>
        <w:t>3</w:t>
      </w:r>
      <w:r>
        <w:rPr>
          <w:rFonts w:hint="eastAsia" w:ascii="Times New Roman" w:hAnsi="Times New Roman" w:eastAsia="仿宋"/>
          <w:color w:val="auto"/>
          <w:szCs w:val="32"/>
        </w:rPr>
        <w:t>、CO及基本气象参数（温度、湿度、风向、风速、气压）。根据运营单位长沙华时捷环保科技发展股份有限公司提供的2020年6月-2020年12月运营月报上的监测数据显示，各点位在此期间的环境空气质量均达到</w:t>
      </w:r>
      <w:r>
        <w:rPr>
          <w:rFonts w:ascii="Times New Roman" w:hAnsi="Times New Roman" w:eastAsia="仿宋"/>
          <w:color w:val="auto"/>
          <w:szCs w:val="32"/>
        </w:rPr>
        <w:t>《环境空气质量标准》（GB3095-2012）二级标准，空气质量良好。</w:t>
      </w:r>
    </w:p>
    <w:p>
      <w:pPr>
        <w:pStyle w:val="8"/>
        <w:snapToGrid w:val="0"/>
        <w:spacing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（五）土壤环境管理</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土壤环境质量监测达标率</w:t>
      </w:r>
      <w:r>
        <w:rPr>
          <w:rFonts w:ascii="Times New Roman" w:hAnsi="Times New Roman" w:eastAsia="仿宋"/>
          <w:color w:val="auto"/>
          <w:szCs w:val="32"/>
          <w:u w:val="single" w:color="000000" w:themeColor="text1"/>
        </w:rPr>
        <w:t>100</w:t>
      </w:r>
      <w:r>
        <w:rPr>
          <w:rFonts w:ascii="Times New Roman" w:hAnsi="Times New Roman" w:eastAsia="仿宋"/>
          <w:color w:val="auto"/>
          <w:szCs w:val="32"/>
        </w:rPr>
        <w:t>%，超标因子</w:t>
      </w:r>
      <w:r>
        <w:rPr>
          <w:rFonts w:ascii="Times New Roman" w:hAnsi="Times New Roman" w:eastAsia="仿宋"/>
          <w:color w:val="auto"/>
          <w:szCs w:val="32"/>
          <w:u w:val="single"/>
        </w:rPr>
        <w:t>无</w:t>
      </w:r>
      <w:r>
        <w:rPr>
          <w:rFonts w:ascii="Times New Roman" w:hAnsi="Times New Roman" w:eastAsia="仿宋"/>
          <w:color w:val="auto"/>
          <w:szCs w:val="32"/>
        </w:rPr>
        <w:t>，最大超标倍数</w:t>
      </w:r>
      <w:r>
        <w:rPr>
          <w:rFonts w:ascii="Times New Roman" w:hAnsi="Times New Roman" w:eastAsia="仿宋"/>
          <w:color w:val="auto"/>
          <w:szCs w:val="32"/>
          <w:u w:val="single" w:color="000000" w:themeColor="text1"/>
        </w:rPr>
        <w:t xml:space="preserve"> 0</w:t>
      </w:r>
      <w:r>
        <w:rPr>
          <w:rFonts w:ascii="Times New Roman" w:hAnsi="Times New Roman" w:eastAsia="仿宋"/>
          <w:color w:val="auto"/>
          <w:szCs w:val="32"/>
        </w:rPr>
        <w:t>倍。</w:t>
      </w:r>
    </w:p>
    <w:p>
      <w:pPr>
        <w:pStyle w:val="8"/>
        <w:snapToGrid w:val="0"/>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园区内涉及污染地块数量</w:t>
      </w:r>
      <w:r>
        <w:rPr>
          <w:rFonts w:ascii="Times New Roman" w:hAnsi="Times New Roman" w:eastAsia="仿宋"/>
          <w:color w:val="auto"/>
          <w:szCs w:val="32"/>
          <w:u w:val="single"/>
        </w:rPr>
        <w:t xml:space="preserve"> 0</w:t>
      </w:r>
      <w:r>
        <w:rPr>
          <w:rFonts w:ascii="Times New Roman" w:hAnsi="Times New Roman" w:eastAsia="仿宋"/>
          <w:color w:val="auto"/>
          <w:szCs w:val="32"/>
        </w:rPr>
        <w:t>个，已完成修复</w:t>
      </w:r>
      <w:r>
        <w:rPr>
          <w:rFonts w:ascii="Times New Roman" w:hAnsi="Times New Roman" w:eastAsia="仿宋"/>
          <w:color w:val="auto"/>
          <w:szCs w:val="32"/>
          <w:u w:val="single"/>
        </w:rPr>
        <w:t xml:space="preserve"> / </w:t>
      </w:r>
      <w:r>
        <w:rPr>
          <w:rFonts w:ascii="Times New Roman" w:hAnsi="Times New Roman" w:eastAsia="仿宋"/>
          <w:color w:val="auto"/>
          <w:szCs w:val="32"/>
        </w:rPr>
        <w:t>个，未开工修复的</w:t>
      </w:r>
      <w:r>
        <w:rPr>
          <w:rFonts w:ascii="Times New Roman" w:hAnsi="Times New Roman" w:eastAsia="仿宋"/>
          <w:color w:val="auto"/>
          <w:szCs w:val="32"/>
          <w:u w:val="single"/>
        </w:rPr>
        <w:t xml:space="preserve"> / </w:t>
      </w:r>
      <w:r>
        <w:rPr>
          <w:rFonts w:ascii="Times New Roman" w:hAnsi="Times New Roman" w:eastAsia="仿宋"/>
          <w:color w:val="auto"/>
          <w:szCs w:val="32"/>
        </w:rPr>
        <w:t>个，修复中的</w:t>
      </w:r>
      <w:r>
        <w:rPr>
          <w:rFonts w:ascii="Times New Roman" w:hAnsi="Times New Roman" w:eastAsia="仿宋"/>
          <w:color w:val="auto"/>
          <w:szCs w:val="32"/>
          <w:u w:val="single"/>
        </w:rPr>
        <w:t xml:space="preserve"> / </w:t>
      </w:r>
      <w:r>
        <w:rPr>
          <w:rFonts w:ascii="Times New Roman" w:hAnsi="Times New Roman" w:eastAsia="仿宋"/>
          <w:color w:val="auto"/>
          <w:szCs w:val="32"/>
        </w:rPr>
        <w:t>个。</w:t>
      </w:r>
    </w:p>
    <w:p>
      <w:pPr>
        <w:snapToGrid w:val="0"/>
        <w:spacing w:line="600" w:lineRule="exact"/>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（六）固体废物管理</w:t>
      </w:r>
    </w:p>
    <w:p>
      <w:pPr>
        <w:pStyle w:val="8"/>
        <w:snapToGrid w:val="0"/>
        <w:spacing w:after="0" w:line="600" w:lineRule="exact"/>
        <w:ind w:left="0" w:leftChars="0" w:firstLine="640"/>
        <w:rPr>
          <w:rFonts w:ascii="Times New Roman" w:hAnsi="Times New Roman" w:eastAsia="仿宋"/>
          <w:color w:val="auto"/>
          <w:szCs w:val="32"/>
          <w:highlight w:val="none"/>
        </w:rPr>
      </w:pPr>
      <w:r>
        <w:rPr>
          <w:rFonts w:ascii="Times New Roman" w:hAnsi="Times New Roman" w:eastAsia="仿宋"/>
          <w:color w:val="auto"/>
          <w:szCs w:val="32"/>
          <w:highlight w:val="none"/>
        </w:rPr>
        <w:t>园区一般工业固体废物产生企业数量</w:t>
      </w:r>
      <w:r>
        <w:rPr>
          <w:rFonts w:hint="eastAsia" w:ascii="Times New Roman" w:hAnsi="Times New Roman" w:eastAsia="仿宋"/>
          <w:color w:val="auto"/>
          <w:szCs w:val="32"/>
          <w:highlight w:val="none"/>
          <w:u w:val="single" w:color="000000" w:themeColor="text1"/>
          <w:lang w:val="en-US" w:eastAsia="zh-CN"/>
        </w:rPr>
        <w:t>9</w:t>
      </w:r>
      <w:r>
        <w:rPr>
          <w:rFonts w:ascii="Times New Roman" w:hAnsi="Times New Roman" w:eastAsia="仿宋"/>
          <w:color w:val="auto"/>
          <w:szCs w:val="32"/>
          <w:highlight w:val="none"/>
        </w:rPr>
        <w:t>个，产生量</w:t>
      </w:r>
      <w:r>
        <w:rPr>
          <w:rFonts w:ascii="Times New Roman" w:hAnsi="Times New Roman" w:eastAsia="仿宋"/>
          <w:color w:val="auto"/>
          <w:szCs w:val="32"/>
          <w:highlight w:val="none"/>
          <w:u w:val="single" w:color="000000" w:themeColor="text1"/>
        </w:rPr>
        <w:t xml:space="preserve">    </w:t>
      </w:r>
      <w:r>
        <w:rPr>
          <w:rFonts w:hint="eastAsia" w:ascii="Times New Roman" w:hAnsi="Times New Roman" w:eastAsia="仿宋"/>
          <w:color w:val="auto"/>
          <w:szCs w:val="32"/>
          <w:highlight w:val="none"/>
          <w:u w:val="single"/>
        </w:rPr>
        <w:t xml:space="preserve">1062979.25 </w:t>
      </w:r>
      <w:r>
        <w:rPr>
          <w:rFonts w:ascii="Times New Roman" w:hAnsi="Times New Roman" w:eastAsia="仿宋"/>
          <w:color w:val="auto"/>
          <w:szCs w:val="32"/>
          <w:highlight w:val="none"/>
        </w:rPr>
        <w:t>t/a，其中，自行综合利用</w:t>
      </w:r>
      <w:r>
        <w:rPr>
          <w:rFonts w:hint="eastAsia" w:ascii="Times New Roman" w:hAnsi="Times New Roman" w:eastAsia="仿宋"/>
          <w:color w:val="auto"/>
          <w:szCs w:val="32"/>
          <w:highlight w:val="none"/>
          <w:u w:val="single" w:color="000000" w:themeColor="text1"/>
        </w:rPr>
        <w:t xml:space="preserve">687180.89 </w:t>
      </w:r>
      <w:r>
        <w:rPr>
          <w:rFonts w:ascii="Times New Roman" w:hAnsi="Times New Roman" w:eastAsia="仿宋"/>
          <w:color w:val="auto"/>
          <w:szCs w:val="32"/>
          <w:highlight w:val="none"/>
          <w:u w:val="single" w:color="000000" w:themeColor="text1"/>
        </w:rPr>
        <w:t xml:space="preserve"> </w:t>
      </w:r>
      <w:r>
        <w:rPr>
          <w:rFonts w:ascii="Times New Roman" w:hAnsi="Times New Roman" w:eastAsia="仿宋"/>
          <w:color w:val="auto"/>
          <w:szCs w:val="32"/>
          <w:highlight w:val="none"/>
        </w:rPr>
        <w:t>t/a，自行处置</w:t>
      </w:r>
      <w:r>
        <w:rPr>
          <w:rFonts w:ascii="Times New Roman" w:hAnsi="Times New Roman" w:eastAsia="仿宋"/>
          <w:color w:val="auto"/>
          <w:szCs w:val="32"/>
          <w:highlight w:val="none"/>
          <w:u w:val="single" w:color="000000" w:themeColor="text1"/>
        </w:rPr>
        <w:t xml:space="preserve"> 0 </w:t>
      </w:r>
      <w:r>
        <w:rPr>
          <w:rFonts w:ascii="Times New Roman" w:hAnsi="Times New Roman" w:eastAsia="仿宋"/>
          <w:color w:val="auto"/>
          <w:szCs w:val="32"/>
          <w:highlight w:val="none"/>
        </w:rPr>
        <w:t>t/a，外委处置</w:t>
      </w:r>
      <w:r>
        <w:rPr>
          <w:rFonts w:ascii="Times New Roman" w:hAnsi="Times New Roman" w:eastAsia="仿宋"/>
          <w:color w:val="auto"/>
          <w:szCs w:val="32"/>
          <w:highlight w:val="none"/>
          <w:u w:val="single" w:color="000000" w:themeColor="text1"/>
        </w:rPr>
        <w:t xml:space="preserve"> </w:t>
      </w:r>
      <w:r>
        <w:rPr>
          <w:rFonts w:hint="eastAsia" w:ascii="Times New Roman" w:hAnsi="Times New Roman" w:eastAsia="仿宋"/>
          <w:color w:val="auto"/>
          <w:szCs w:val="32"/>
          <w:highlight w:val="none"/>
          <w:u w:val="single" w:color="000000" w:themeColor="text1"/>
        </w:rPr>
        <w:t xml:space="preserve">375799.37 </w:t>
      </w:r>
      <w:r>
        <w:rPr>
          <w:rFonts w:ascii="Times New Roman" w:hAnsi="Times New Roman" w:eastAsia="仿宋"/>
          <w:color w:val="auto"/>
          <w:szCs w:val="32"/>
          <w:highlight w:val="none"/>
          <w:u w:val="single" w:color="000000" w:themeColor="text1"/>
        </w:rPr>
        <w:t xml:space="preserve"> </w:t>
      </w:r>
      <w:r>
        <w:rPr>
          <w:rFonts w:ascii="Times New Roman" w:hAnsi="Times New Roman" w:eastAsia="仿宋"/>
          <w:color w:val="auto"/>
          <w:szCs w:val="32"/>
          <w:highlight w:val="none"/>
        </w:rPr>
        <w:t>t/a。危险废物产生企业数量</w:t>
      </w:r>
      <w:r>
        <w:rPr>
          <w:rFonts w:ascii="Times New Roman" w:hAnsi="Times New Roman" w:eastAsia="仿宋"/>
          <w:color w:val="auto"/>
          <w:szCs w:val="32"/>
          <w:highlight w:val="none"/>
          <w:u w:val="single" w:color="000000" w:themeColor="text1"/>
        </w:rPr>
        <w:t xml:space="preserve"> </w:t>
      </w:r>
      <w:r>
        <w:rPr>
          <w:rFonts w:hint="eastAsia" w:ascii="Times New Roman" w:hAnsi="Times New Roman" w:eastAsia="仿宋"/>
          <w:color w:val="auto"/>
          <w:szCs w:val="32"/>
          <w:highlight w:val="none"/>
          <w:u w:val="single" w:color="000000" w:themeColor="text1"/>
          <w:lang w:val="en-US" w:eastAsia="zh-CN"/>
        </w:rPr>
        <w:t>10</w:t>
      </w:r>
      <w:r>
        <w:rPr>
          <w:rFonts w:ascii="Times New Roman" w:hAnsi="Times New Roman" w:eastAsia="仿宋"/>
          <w:color w:val="auto"/>
          <w:szCs w:val="32"/>
          <w:highlight w:val="none"/>
          <w:u w:val="single" w:color="000000" w:themeColor="text1"/>
        </w:rPr>
        <w:t xml:space="preserve"> </w:t>
      </w:r>
      <w:r>
        <w:rPr>
          <w:rFonts w:ascii="Times New Roman" w:hAnsi="Times New Roman" w:eastAsia="仿宋"/>
          <w:color w:val="auto"/>
          <w:szCs w:val="32"/>
          <w:highlight w:val="none"/>
        </w:rPr>
        <w:t>个，产生量</w:t>
      </w:r>
      <w:r>
        <w:rPr>
          <w:rFonts w:hint="eastAsia" w:ascii="Times New Roman" w:hAnsi="Times New Roman" w:eastAsia="仿宋"/>
          <w:color w:val="auto"/>
          <w:szCs w:val="32"/>
          <w:highlight w:val="none"/>
          <w:u w:val="single" w:color="000000" w:themeColor="text1"/>
        </w:rPr>
        <w:t xml:space="preserve">214945.82 </w:t>
      </w:r>
      <w:r>
        <w:rPr>
          <w:rFonts w:ascii="Times New Roman" w:hAnsi="Times New Roman" w:eastAsia="仿宋"/>
          <w:color w:val="auto"/>
          <w:szCs w:val="32"/>
          <w:highlight w:val="none"/>
        </w:rPr>
        <w:t>t/a，其中，自行综合利用</w:t>
      </w:r>
      <w:r>
        <w:rPr>
          <w:rFonts w:ascii="Times New Roman" w:hAnsi="Times New Roman" w:eastAsia="仿宋"/>
          <w:color w:val="auto"/>
          <w:szCs w:val="32"/>
          <w:highlight w:val="none"/>
          <w:u w:val="single" w:color="000000" w:themeColor="text1"/>
        </w:rPr>
        <w:t xml:space="preserve"> </w:t>
      </w:r>
      <w:r>
        <w:rPr>
          <w:rFonts w:hint="eastAsia" w:ascii="Times New Roman" w:hAnsi="Times New Roman" w:eastAsia="仿宋"/>
          <w:color w:val="auto"/>
          <w:szCs w:val="32"/>
          <w:highlight w:val="none"/>
          <w:u w:val="single" w:color="000000" w:themeColor="text1"/>
        </w:rPr>
        <w:t xml:space="preserve">54110.30 </w:t>
      </w:r>
      <w:r>
        <w:rPr>
          <w:rFonts w:ascii="Times New Roman" w:hAnsi="Times New Roman" w:eastAsia="仿宋"/>
          <w:color w:val="auto"/>
          <w:szCs w:val="32"/>
          <w:highlight w:val="none"/>
          <w:u w:val="single" w:color="000000" w:themeColor="text1"/>
        </w:rPr>
        <w:t xml:space="preserve"> </w:t>
      </w:r>
      <w:r>
        <w:rPr>
          <w:rFonts w:ascii="Times New Roman" w:hAnsi="Times New Roman" w:eastAsia="仿宋"/>
          <w:color w:val="auto"/>
          <w:szCs w:val="32"/>
          <w:highlight w:val="none"/>
        </w:rPr>
        <w:t>t/a，自行处置</w:t>
      </w:r>
      <w:r>
        <w:rPr>
          <w:rFonts w:ascii="Times New Roman" w:hAnsi="Times New Roman" w:eastAsia="仿宋"/>
          <w:color w:val="auto"/>
          <w:szCs w:val="32"/>
          <w:highlight w:val="none"/>
          <w:u w:val="single" w:color="000000" w:themeColor="text1"/>
        </w:rPr>
        <w:t xml:space="preserve"> 0 </w:t>
      </w:r>
      <w:r>
        <w:rPr>
          <w:rFonts w:ascii="Times New Roman" w:hAnsi="Times New Roman" w:eastAsia="仿宋"/>
          <w:color w:val="auto"/>
          <w:szCs w:val="32"/>
          <w:highlight w:val="none"/>
        </w:rPr>
        <w:t>t/a，外委处置</w:t>
      </w:r>
      <w:r>
        <w:rPr>
          <w:rFonts w:ascii="Times New Roman" w:hAnsi="Times New Roman" w:eastAsia="仿宋"/>
          <w:color w:val="auto"/>
          <w:szCs w:val="32"/>
          <w:highlight w:val="none"/>
          <w:u w:val="single" w:color="000000" w:themeColor="text1"/>
        </w:rPr>
        <w:t xml:space="preserve"> </w:t>
      </w:r>
      <w:r>
        <w:rPr>
          <w:rFonts w:hint="eastAsia" w:ascii="Times New Roman" w:hAnsi="Times New Roman" w:eastAsia="仿宋"/>
          <w:color w:val="auto"/>
          <w:szCs w:val="32"/>
          <w:highlight w:val="none"/>
          <w:u w:val="single" w:color="000000" w:themeColor="text1"/>
        </w:rPr>
        <w:t xml:space="preserve">160836.52 </w:t>
      </w:r>
      <w:r>
        <w:rPr>
          <w:rFonts w:ascii="Times New Roman" w:hAnsi="Times New Roman" w:eastAsia="仿宋"/>
          <w:color w:val="auto"/>
          <w:szCs w:val="32"/>
          <w:highlight w:val="none"/>
        </w:rPr>
        <w:t>t/a。</w:t>
      </w:r>
    </w:p>
    <w:p>
      <w:pPr>
        <w:pStyle w:val="8"/>
        <w:snapToGrid w:val="0"/>
        <w:spacing w:after="0" w:line="600" w:lineRule="exact"/>
        <w:ind w:left="0" w:leftChars="0" w:firstLine="640"/>
        <w:rPr>
          <w:rFonts w:ascii="Times New Roman" w:hAnsi="Times New Roman" w:eastAsia="仿宋"/>
          <w:color w:val="auto"/>
          <w:szCs w:val="32"/>
          <w:highlight w:val="none"/>
        </w:rPr>
      </w:pPr>
      <w:r>
        <w:rPr>
          <w:rFonts w:ascii="Times New Roman" w:hAnsi="Times New Roman" w:eastAsia="仿宋"/>
          <w:color w:val="auto"/>
          <w:szCs w:val="32"/>
          <w:highlight w:val="none"/>
        </w:rPr>
        <w:t>园区集中的工业固废处理设施情况：处理能力</w:t>
      </w:r>
      <w:r>
        <w:rPr>
          <w:rFonts w:ascii="Times New Roman" w:hAnsi="Times New Roman" w:eastAsia="仿宋"/>
          <w:color w:val="auto"/>
          <w:szCs w:val="32"/>
          <w:highlight w:val="none"/>
          <w:u w:val="single" w:color="000000" w:themeColor="text1"/>
        </w:rPr>
        <w:t xml:space="preserve"> - </w:t>
      </w:r>
      <w:r>
        <w:rPr>
          <w:rFonts w:ascii="Times New Roman" w:hAnsi="Times New Roman" w:eastAsia="仿宋"/>
          <w:color w:val="auto"/>
          <w:szCs w:val="32"/>
          <w:highlight w:val="none"/>
        </w:rPr>
        <w:t>t/a，处理工业固体废物种类</w:t>
      </w:r>
      <w:r>
        <w:rPr>
          <w:rFonts w:ascii="Times New Roman" w:hAnsi="Times New Roman" w:eastAsia="仿宋"/>
          <w:color w:val="auto"/>
          <w:szCs w:val="32"/>
          <w:highlight w:val="none"/>
          <w:u w:val="single" w:color="000000" w:themeColor="text1"/>
        </w:rPr>
        <w:t xml:space="preserve"> - </w:t>
      </w:r>
      <w:r>
        <w:rPr>
          <w:rFonts w:ascii="Times New Roman" w:hAnsi="Times New Roman" w:eastAsia="仿宋"/>
          <w:color w:val="auto"/>
          <w:szCs w:val="32"/>
          <w:highlight w:val="none"/>
        </w:rPr>
        <w:t>，处理工艺</w:t>
      </w:r>
      <w:r>
        <w:rPr>
          <w:rFonts w:ascii="Times New Roman" w:hAnsi="Times New Roman" w:eastAsia="仿宋"/>
          <w:color w:val="auto"/>
          <w:szCs w:val="32"/>
          <w:highlight w:val="none"/>
          <w:u w:val="single" w:color="000000" w:themeColor="text1"/>
        </w:rPr>
        <w:t xml:space="preserve"> - </w:t>
      </w:r>
      <w:r>
        <w:rPr>
          <w:rFonts w:ascii="Times New Roman" w:hAnsi="Times New Roman" w:eastAsia="仿宋"/>
          <w:color w:val="auto"/>
          <w:szCs w:val="32"/>
          <w:highlight w:val="none"/>
        </w:rPr>
        <w:t>。</w:t>
      </w:r>
    </w:p>
    <w:p>
      <w:pPr>
        <w:pStyle w:val="8"/>
        <w:snapToGrid w:val="0"/>
        <w:spacing w:after="0" w:line="600" w:lineRule="exact"/>
        <w:ind w:left="0" w:leftChars="0" w:firstLine="640"/>
        <w:rPr>
          <w:rFonts w:ascii="Times New Roman" w:hAnsi="Times New Roman" w:eastAsia="仿宋"/>
          <w:color w:val="auto"/>
          <w:szCs w:val="32"/>
          <w:highlight w:val="none"/>
        </w:rPr>
      </w:pPr>
      <w:r>
        <w:rPr>
          <w:rFonts w:ascii="Times New Roman" w:hAnsi="Times New Roman" w:eastAsia="仿宋"/>
          <w:color w:val="auto"/>
          <w:szCs w:val="32"/>
          <w:highlight w:val="none"/>
        </w:rPr>
        <w:t>（七）投诉管理</w:t>
      </w:r>
    </w:p>
    <w:p>
      <w:pPr>
        <w:pStyle w:val="8"/>
        <w:snapToGrid w:val="0"/>
        <w:spacing w:after="0" w:line="600" w:lineRule="exact"/>
        <w:ind w:left="0" w:leftChars="0" w:firstLine="640"/>
        <w:rPr>
          <w:rFonts w:ascii="Times New Roman" w:hAnsi="Times New Roman" w:eastAsia="仿宋"/>
          <w:color w:val="auto"/>
          <w:szCs w:val="32"/>
          <w:highlight w:val="none"/>
        </w:rPr>
      </w:pPr>
      <w:r>
        <w:rPr>
          <w:rFonts w:ascii="Times New Roman" w:hAnsi="Times New Roman" w:eastAsia="仿宋"/>
          <w:color w:val="auto"/>
          <w:szCs w:val="32"/>
          <w:highlight w:val="none"/>
        </w:rPr>
        <w:t>本年度园区共受理各类（含各级督查、各级环保投诉等）投诉</w:t>
      </w:r>
      <w:r>
        <w:rPr>
          <w:rFonts w:ascii="Times New Roman" w:hAnsi="Times New Roman" w:eastAsia="仿宋"/>
          <w:color w:val="auto"/>
          <w:szCs w:val="32"/>
          <w:highlight w:val="none"/>
          <w:u w:val="single"/>
        </w:rPr>
        <w:t xml:space="preserve"> </w:t>
      </w:r>
      <w:r>
        <w:rPr>
          <w:rFonts w:hint="eastAsia" w:ascii="Times New Roman" w:hAnsi="Times New Roman" w:eastAsia="仿宋"/>
          <w:color w:val="auto"/>
          <w:szCs w:val="32"/>
          <w:highlight w:val="none"/>
          <w:u w:val="single"/>
          <w:lang w:val="en-US" w:eastAsia="zh-CN"/>
        </w:rPr>
        <w:t>4</w:t>
      </w:r>
      <w:r>
        <w:rPr>
          <w:rFonts w:ascii="Times New Roman" w:hAnsi="Times New Roman" w:eastAsia="仿宋"/>
          <w:color w:val="auto"/>
          <w:szCs w:val="32"/>
          <w:highlight w:val="none"/>
        </w:rPr>
        <w:t>件，已完成整改</w:t>
      </w:r>
      <w:r>
        <w:rPr>
          <w:rFonts w:ascii="Times New Roman" w:hAnsi="Times New Roman" w:eastAsia="仿宋"/>
          <w:color w:val="auto"/>
          <w:szCs w:val="32"/>
          <w:highlight w:val="none"/>
          <w:u w:val="single"/>
        </w:rPr>
        <w:t xml:space="preserve"> </w:t>
      </w:r>
      <w:r>
        <w:rPr>
          <w:rFonts w:hint="eastAsia" w:ascii="Times New Roman" w:hAnsi="Times New Roman" w:eastAsia="仿宋"/>
          <w:color w:val="auto"/>
          <w:szCs w:val="32"/>
          <w:highlight w:val="none"/>
          <w:u w:val="single"/>
          <w:lang w:val="en-US" w:eastAsia="zh-CN"/>
        </w:rPr>
        <w:t>4</w:t>
      </w:r>
      <w:r>
        <w:rPr>
          <w:rFonts w:ascii="Times New Roman" w:hAnsi="Times New Roman" w:eastAsia="仿宋"/>
          <w:color w:val="auto"/>
          <w:szCs w:val="32"/>
          <w:highlight w:val="none"/>
        </w:rPr>
        <w:t>件，完成率</w:t>
      </w:r>
      <w:r>
        <w:rPr>
          <w:rFonts w:ascii="Times New Roman" w:hAnsi="Times New Roman" w:eastAsia="仿宋"/>
          <w:color w:val="auto"/>
          <w:szCs w:val="32"/>
          <w:highlight w:val="none"/>
          <w:u w:val="single"/>
        </w:rPr>
        <w:t xml:space="preserve"> </w:t>
      </w:r>
      <w:r>
        <w:rPr>
          <w:rFonts w:hint="eastAsia" w:ascii="Times New Roman" w:hAnsi="Times New Roman" w:eastAsia="仿宋"/>
          <w:color w:val="auto"/>
          <w:szCs w:val="32"/>
          <w:highlight w:val="none"/>
          <w:u w:val="single"/>
          <w:lang w:val="en-US" w:eastAsia="zh-CN"/>
        </w:rPr>
        <w:t>100</w:t>
      </w:r>
      <w:r>
        <w:rPr>
          <w:rFonts w:ascii="Times New Roman" w:hAnsi="Times New Roman" w:eastAsia="仿宋"/>
          <w:color w:val="auto"/>
          <w:szCs w:val="32"/>
          <w:highlight w:val="none"/>
          <w:u w:val="single"/>
        </w:rPr>
        <w:t xml:space="preserve"> </w:t>
      </w:r>
      <w:r>
        <w:rPr>
          <w:rFonts w:ascii="Times New Roman" w:hAnsi="Times New Roman" w:eastAsia="仿宋"/>
          <w:color w:val="auto"/>
          <w:szCs w:val="32"/>
          <w:highlight w:val="none"/>
        </w:rPr>
        <w:t>%。环保督察交办问题</w:t>
      </w:r>
      <w:r>
        <w:rPr>
          <w:rFonts w:ascii="Times New Roman" w:hAnsi="Times New Roman" w:eastAsia="仿宋"/>
          <w:color w:val="auto"/>
          <w:szCs w:val="32"/>
          <w:highlight w:val="none"/>
          <w:u w:val="single"/>
        </w:rPr>
        <w:t xml:space="preserve"> 0 </w:t>
      </w:r>
      <w:r>
        <w:rPr>
          <w:rFonts w:ascii="Times New Roman" w:hAnsi="Times New Roman" w:eastAsia="仿宋"/>
          <w:color w:val="auto"/>
          <w:szCs w:val="32"/>
          <w:highlight w:val="none"/>
        </w:rPr>
        <w:t>件，已完成整改</w:t>
      </w:r>
      <w:r>
        <w:rPr>
          <w:rFonts w:ascii="Times New Roman" w:hAnsi="Times New Roman" w:eastAsia="仿宋"/>
          <w:color w:val="auto"/>
          <w:szCs w:val="32"/>
          <w:highlight w:val="none"/>
          <w:u w:val="single"/>
        </w:rPr>
        <w:t xml:space="preserve"> / </w:t>
      </w:r>
      <w:r>
        <w:rPr>
          <w:rFonts w:ascii="Times New Roman" w:hAnsi="Times New Roman" w:eastAsia="仿宋"/>
          <w:color w:val="auto"/>
          <w:szCs w:val="32"/>
          <w:highlight w:val="none"/>
        </w:rPr>
        <w:t>件，完成率</w:t>
      </w:r>
      <w:r>
        <w:rPr>
          <w:rFonts w:ascii="Times New Roman" w:hAnsi="Times New Roman" w:eastAsia="仿宋"/>
          <w:color w:val="auto"/>
          <w:szCs w:val="32"/>
          <w:highlight w:val="none"/>
          <w:u w:val="single"/>
        </w:rPr>
        <w:t xml:space="preserve"> / </w:t>
      </w:r>
      <w:r>
        <w:rPr>
          <w:rFonts w:ascii="Times New Roman" w:hAnsi="Times New Roman" w:eastAsia="仿宋"/>
          <w:color w:val="auto"/>
          <w:szCs w:val="32"/>
          <w:highlight w:val="none"/>
        </w:rPr>
        <w:t>%。</w:t>
      </w:r>
    </w:p>
    <w:p>
      <w:pPr>
        <w:pStyle w:val="8"/>
        <w:snapToGrid w:val="0"/>
        <w:spacing w:after="0" w:line="600" w:lineRule="exact"/>
        <w:ind w:left="0" w:leftChars="0" w:firstLine="640"/>
        <w:rPr>
          <w:rFonts w:ascii="Times New Roman" w:hAnsi="Times New Roman" w:eastAsia="仿宋"/>
          <w:color w:val="auto"/>
          <w:szCs w:val="32"/>
          <w:highlight w:val="none"/>
        </w:rPr>
      </w:pPr>
      <w:r>
        <w:rPr>
          <w:rFonts w:ascii="Times New Roman" w:hAnsi="Times New Roman" w:eastAsia="仿宋"/>
          <w:color w:val="auto"/>
          <w:szCs w:val="32"/>
          <w:highlight w:val="none"/>
        </w:rPr>
        <w:t>（八）园区信用评价</w:t>
      </w:r>
    </w:p>
    <w:p>
      <w:pPr>
        <w:pStyle w:val="8"/>
        <w:snapToGrid w:val="0"/>
        <w:spacing w:after="0" w:line="600" w:lineRule="exact"/>
        <w:ind w:left="0" w:leftChars="0" w:firstLine="0" w:firstLineChars="0"/>
        <w:jc w:val="center"/>
        <w:rPr>
          <w:rFonts w:ascii="Times New Roman" w:hAnsi="Times New Roman" w:eastAsia="仿宋"/>
          <w:color w:val="auto"/>
          <w:sz w:val="24"/>
          <w:szCs w:val="24"/>
        </w:rPr>
      </w:pPr>
      <w:r>
        <w:rPr>
          <w:rFonts w:ascii="Times New Roman" w:hAnsi="Times New Roman" w:eastAsia="仿宋"/>
          <w:color w:val="auto"/>
          <w:sz w:val="24"/>
          <w:szCs w:val="24"/>
        </w:rPr>
        <w:t>表5  园区生态环境管理与信用管理办法和细则的自评情况</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66"/>
        <w:gridCol w:w="1055"/>
        <w:gridCol w:w="3631"/>
        <w:gridCol w:w="835"/>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序号</w:t>
            </w:r>
          </w:p>
        </w:tc>
        <w:tc>
          <w:tcPr>
            <w:tcW w:w="508"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一级评价指标</w:t>
            </w:r>
          </w:p>
        </w:tc>
        <w:tc>
          <w:tcPr>
            <w:tcW w:w="61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二级评价指标</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评价标准</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分值（分）</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园区实际情况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508"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环境准入管理</w:t>
            </w: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规划环境影响评价</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w:t>
            </w:r>
            <w:r>
              <w:rPr>
                <w:rFonts w:ascii="Times New Roman" w:hAnsi="Times New Roman" w:eastAsia="仿宋" w:cs="Times New Roman"/>
                <w:color w:val="auto"/>
                <w:kern w:val="0"/>
                <w:sz w:val="21"/>
                <w:szCs w:val="21"/>
              </w:rPr>
              <w:t>有重大调整和修订未重新开展规划环评</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w:t>
            </w:r>
            <w:r>
              <w:rPr>
                <w:rFonts w:ascii="Times New Roman" w:hAnsi="Times New Roman" w:eastAsia="仿宋" w:cs="Times New Roman"/>
                <w:color w:val="auto"/>
                <w:kern w:val="0"/>
                <w:sz w:val="21"/>
                <w:szCs w:val="21"/>
              </w:rPr>
              <w:t>规划实施五年以上未组织开展环境影响跟踪评价</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3</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建设项目环评</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产业园区内有建设项目未依法开展环境影响评价</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4</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产业园区内有被评为黑名单的企事业单位</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5</w:t>
            </w:r>
          </w:p>
        </w:tc>
        <w:tc>
          <w:tcPr>
            <w:tcW w:w="508"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环境基础设施</w:t>
            </w: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废水收集处理</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w:t>
            </w:r>
            <w:r>
              <w:rPr>
                <w:rFonts w:ascii="Times New Roman" w:hAnsi="Times New Roman" w:eastAsia="仿宋" w:cs="Times New Roman"/>
                <w:color w:val="auto"/>
                <w:kern w:val="0"/>
                <w:sz w:val="21"/>
                <w:szCs w:val="21"/>
              </w:rPr>
              <w:t>废水集中处理率未达到100%</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-3</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6</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园区污水处理厂执法监测不达标</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7</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废气治理与管理</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w:t>
            </w:r>
            <w:r>
              <w:rPr>
                <w:rFonts w:ascii="Times New Roman" w:hAnsi="Times New Roman" w:eastAsia="仿宋" w:cs="Times New Roman"/>
                <w:color w:val="auto"/>
                <w:kern w:val="0"/>
                <w:sz w:val="21"/>
                <w:szCs w:val="21"/>
              </w:rPr>
              <w:t>涉VOCs重点排放企事业单位未进行有效收集、未设置有效的VOCs污染治理措施或未按规定建立管理台账</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8</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园区未按规定建成大气环境监控预警系统</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9</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固废处置</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园区未建成危险废物监管体系</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10</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园区内企事业单位发生危险废物非法倾倒、转移、处置事件</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11</w:t>
            </w:r>
          </w:p>
        </w:tc>
        <w:tc>
          <w:tcPr>
            <w:tcW w:w="508"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环境监测监管能力</w:t>
            </w: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监测能力</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园区未开展自行监测或自行监测数据弄虚作假</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12</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园区未按规定建立与环境监测要求相匹配的环境监测能力</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13</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监管能力</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w:t>
            </w:r>
            <w:r>
              <w:rPr>
                <w:rFonts w:ascii="Times New Roman" w:hAnsi="Times New Roman" w:eastAsia="仿宋" w:cs="Times New Roman"/>
                <w:color w:val="auto"/>
                <w:kern w:val="0"/>
                <w:sz w:val="21"/>
                <w:szCs w:val="21"/>
              </w:rPr>
              <w:t>建立了污染源在线监控、企事业单位生产工况、电能监控、一企一管水质监控、视频监控及环保设施运行监控、环境质量监控等产业园区数字化在线监控平台（任意一项）</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本园区已建立了视频监控及环保设施运行监控。（+1分）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14</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信息化建设</w:t>
            </w:r>
          </w:p>
        </w:tc>
        <w:tc>
          <w:tcPr>
            <w:tcW w:w="2131" w:type="pct"/>
            <w:tcBorders>
              <w:tl2br w:val="nil"/>
              <w:tr2bl w:val="nil"/>
            </w:tcBorders>
            <w:vAlign w:val="center"/>
          </w:tcPr>
          <w:p>
            <w:pPr>
              <w:widowControl/>
              <w:adjustRightInd w:val="0"/>
              <w:snapToGrid w:val="0"/>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产业园区未建立环境信息管理档案</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15</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环保信息公开</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园区未及时公开年度环境监测报告或园区年度环境监测信息，园区污染物排放状况、企业达标排放情况、环境基础设施建设和运行情况、环境风险防控措施落实情况等信息公开不完整的</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16</w:t>
            </w:r>
          </w:p>
        </w:tc>
        <w:tc>
          <w:tcPr>
            <w:tcW w:w="508"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环境风险防控</w:t>
            </w:r>
          </w:p>
        </w:tc>
        <w:tc>
          <w:tcPr>
            <w:tcW w:w="61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环境风险排查</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w:t>
            </w:r>
            <w:r>
              <w:rPr>
                <w:rFonts w:ascii="Times New Roman" w:hAnsi="Times New Roman" w:eastAsia="仿宋" w:cs="Times New Roman"/>
                <w:color w:val="auto"/>
                <w:kern w:val="0"/>
                <w:sz w:val="21"/>
                <w:szCs w:val="21"/>
              </w:rPr>
              <w:t>年度内未开展环境风险隐患和环境问题排查工作</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17</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环境应急保障能力建设</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园区设置了风险防控环境应急指挥平台</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18</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园区未按要求制定或修编园区突发环境事件应急预案</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19</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产业园区未定期组织开展应急演练</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园区暂时未定期开展演练。（-1分）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20</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园区环境应急救援物资配备不符合规定</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21</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restar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风险防控体系</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园区未建立环境风险源数据库，未落实各项风险防范措施</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22</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园区发生重特大环境污染事件或存在被省级以上环境主管部门通报的突出环境安全隐患</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-4</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23</w:t>
            </w:r>
          </w:p>
        </w:tc>
        <w:tc>
          <w:tcPr>
            <w:tcW w:w="508"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619" w:type="pct"/>
            <w:vMerge w:val="continue"/>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c>
          <w:tcPr>
            <w:tcW w:w="2131" w:type="pct"/>
            <w:tcBorders>
              <w:tl2br w:val="nil"/>
              <w:tr2bl w:val="nil"/>
            </w:tcBorders>
            <w:vAlign w:val="center"/>
          </w:tcPr>
          <w:p>
            <w:pPr>
              <w:widowControl/>
              <w:adjustRightInd w:val="0"/>
              <w:snapToGrid w:val="0"/>
              <w:jc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产业</w:t>
            </w:r>
            <w:r>
              <w:rPr>
                <w:rFonts w:ascii="Times New Roman" w:hAnsi="Times New Roman" w:eastAsia="仿宋" w:cs="Times New Roman"/>
                <w:color w:val="auto"/>
                <w:kern w:val="0"/>
                <w:sz w:val="21"/>
                <w:szCs w:val="21"/>
              </w:rPr>
              <w:t>园区出现区域限批、挂牌督办、约谈、中央及省级环保督察反馈问题整改不力等情况</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-3</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24</w:t>
            </w:r>
          </w:p>
        </w:tc>
        <w:tc>
          <w:tcPr>
            <w:tcW w:w="508"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环境综合治理</w:t>
            </w:r>
          </w:p>
        </w:tc>
        <w:tc>
          <w:tcPr>
            <w:tcW w:w="61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环境第三方治理服务</w:t>
            </w:r>
          </w:p>
        </w:tc>
        <w:tc>
          <w:tcPr>
            <w:tcW w:w="2131"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采取了第三方治理服务模式</w:t>
            </w:r>
          </w:p>
        </w:tc>
        <w:tc>
          <w:tcPr>
            <w:tcW w:w="489"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+1</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园区已引入第三方检测单位，开启了第三方服务模式。（+1分）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84" w:type="pct"/>
            <w:gridSpan w:val="5"/>
            <w:tcBorders>
              <w:tl2br w:val="nil"/>
              <w:tr2bl w:val="nil"/>
            </w:tcBorders>
            <w:vAlign w:val="center"/>
          </w:tcPr>
          <w:p>
            <w:pPr>
              <w:widowControl/>
              <w:adjustRightInd w:val="0"/>
              <w:snapToGrid w:val="0"/>
              <w:jc w:val="center"/>
              <w:textAlignment w:val="center"/>
              <w:rPr>
                <w:rFonts w:ascii="Times New Roman" w:hAnsi="Times New Roman" w:eastAsia="仿宋" w:cs="Times New Roman"/>
                <w:b/>
                <w:bCs/>
                <w:color w:val="auto"/>
                <w:kern w:val="0"/>
                <w:sz w:val="21"/>
                <w:szCs w:val="21"/>
              </w:rPr>
            </w:pPr>
            <w:r>
              <w:rPr>
                <w:rFonts w:ascii="Times New Roman" w:hAnsi="Times New Roman" w:eastAsia="仿宋" w:cs="Times New Roman"/>
                <w:b/>
                <w:bCs/>
                <w:color w:val="auto"/>
                <w:kern w:val="0"/>
                <w:sz w:val="21"/>
                <w:szCs w:val="21"/>
              </w:rPr>
              <w:t>园区最终得分</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b/>
                <w:bCs/>
                <w:color w:val="auto"/>
                <w:kern w:val="0"/>
                <w:sz w:val="21"/>
                <w:szCs w:val="21"/>
              </w:rPr>
            </w:pPr>
            <w:r>
              <w:rPr>
                <w:rFonts w:ascii="Times New Roman" w:hAnsi="Times New Roman" w:eastAsia="仿宋" w:cs="Times New Roman"/>
                <w:b/>
                <w:bCs/>
                <w:color w:val="auto"/>
                <w:kern w:val="0"/>
                <w:sz w:val="21"/>
                <w:szCs w:val="21"/>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84" w:type="pct"/>
            <w:gridSpan w:val="5"/>
            <w:tcBorders>
              <w:tl2br w:val="nil"/>
              <w:tr2bl w:val="nil"/>
            </w:tcBorders>
            <w:vAlign w:val="center"/>
          </w:tcPr>
          <w:p>
            <w:pPr>
              <w:widowControl/>
              <w:adjustRightInd w:val="0"/>
              <w:snapToGrid w:val="0"/>
              <w:jc w:val="left"/>
              <w:textAlignment w:val="center"/>
              <w:rPr>
                <w:rFonts w:ascii="Times New Roman" w:hAnsi="Times New Roman" w:eastAsia="仿宋" w:cs="Times New Roman"/>
                <w:color w:val="auto"/>
                <w:kern w:val="0"/>
                <w:sz w:val="21"/>
                <w:szCs w:val="21"/>
              </w:rPr>
            </w:pPr>
            <w:r>
              <w:rPr>
                <w:rFonts w:ascii="Times New Roman" w:hAnsi="Times New Roman" w:eastAsia="仿宋" w:cs="Times New Roman"/>
                <w:color w:val="auto"/>
                <w:kern w:val="0"/>
                <w:sz w:val="21"/>
                <w:szCs w:val="21"/>
              </w:rPr>
              <w:t>说明：</w:t>
            </w:r>
            <w:r>
              <w:rPr>
                <w:rFonts w:ascii="Times New Roman" w:hAnsi="Times New Roman" w:eastAsia="仿宋" w:cs="Times New Roman"/>
                <w:color w:val="auto"/>
                <w:kern w:val="0"/>
                <w:sz w:val="21"/>
                <w:szCs w:val="21"/>
              </w:rPr>
              <w:br w:type="textWrapping"/>
            </w:r>
            <w:r>
              <w:rPr>
                <w:rFonts w:ascii="Times New Roman" w:hAnsi="Times New Roman" w:eastAsia="仿宋" w:cs="Times New Roman"/>
                <w:color w:val="auto"/>
                <w:kern w:val="0"/>
                <w:sz w:val="21"/>
                <w:szCs w:val="21"/>
              </w:rPr>
              <w:t>一、初始分值为9分，满分12分。</w:t>
            </w:r>
            <w:r>
              <w:rPr>
                <w:rFonts w:ascii="Times New Roman" w:hAnsi="Times New Roman" w:eastAsia="仿宋" w:cs="Times New Roman"/>
                <w:color w:val="auto"/>
                <w:kern w:val="0"/>
                <w:sz w:val="21"/>
                <w:szCs w:val="21"/>
              </w:rPr>
              <w:br w:type="textWrapping"/>
            </w:r>
            <w:r>
              <w:rPr>
                <w:rFonts w:ascii="Times New Roman" w:hAnsi="Times New Roman" w:eastAsia="仿宋" w:cs="Times New Roman"/>
                <w:color w:val="auto"/>
                <w:kern w:val="0"/>
                <w:sz w:val="21"/>
                <w:szCs w:val="21"/>
              </w:rPr>
              <w:t>二、产业园区未及时按照要求上报自查报告，直接评定为环保风险园区。若自查报告中未上报某项指标内容的，此项指标按最高分进行扣分。</w:t>
            </w:r>
          </w:p>
        </w:tc>
        <w:tc>
          <w:tcPr>
            <w:tcW w:w="915" w:type="pct"/>
            <w:tcBorders>
              <w:tl2br w:val="nil"/>
              <w:tr2bl w:val="nil"/>
            </w:tcBorders>
            <w:vAlign w:val="center"/>
          </w:tcPr>
          <w:p>
            <w:pPr>
              <w:widowControl/>
              <w:adjustRightInd w:val="0"/>
              <w:snapToGrid w:val="0"/>
              <w:jc w:val="center"/>
              <w:textAlignment w:val="center"/>
              <w:rPr>
                <w:rFonts w:ascii="Times New Roman" w:hAnsi="Times New Roman" w:eastAsia="仿宋" w:cs="Times New Roman"/>
                <w:color w:val="auto"/>
                <w:kern w:val="0"/>
                <w:sz w:val="21"/>
                <w:szCs w:val="21"/>
              </w:rPr>
            </w:pPr>
          </w:p>
        </w:tc>
      </w:tr>
    </w:tbl>
    <w:p>
      <w:pPr>
        <w:pStyle w:val="8"/>
        <w:snapToGrid w:val="0"/>
        <w:spacing w:after="0" w:line="600" w:lineRule="exact"/>
        <w:ind w:left="0" w:leftChars="0" w:firstLine="0" w:firstLineChars="0"/>
        <w:jc w:val="center"/>
        <w:rPr>
          <w:rFonts w:ascii="Times New Roman" w:hAnsi="Times New Roman" w:eastAsia="仿宋"/>
          <w:color w:val="auto"/>
          <w:sz w:val="24"/>
          <w:szCs w:val="24"/>
        </w:rPr>
      </w:pPr>
      <w:r>
        <w:rPr>
          <w:rFonts w:ascii="Times New Roman" w:hAnsi="Times New Roman" w:eastAsia="仿宋"/>
          <w:color w:val="auto"/>
          <w:sz w:val="24"/>
          <w:szCs w:val="24"/>
        </w:rPr>
        <w:t>表6  园区信用等级判定表</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4990"/>
        <w:gridCol w:w="2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序号</w:t>
            </w:r>
          </w:p>
        </w:tc>
        <w:tc>
          <w:tcPr>
            <w:tcW w:w="4990"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信用等级</w:t>
            </w:r>
          </w:p>
        </w:tc>
        <w:tc>
          <w:tcPr>
            <w:tcW w:w="284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信用分值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w:t>
            </w:r>
          </w:p>
        </w:tc>
        <w:tc>
          <w:tcPr>
            <w:tcW w:w="4990"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环保诚信园区</w:t>
            </w:r>
          </w:p>
        </w:tc>
        <w:tc>
          <w:tcPr>
            <w:tcW w:w="284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10-12分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2</w:t>
            </w:r>
          </w:p>
        </w:tc>
        <w:tc>
          <w:tcPr>
            <w:tcW w:w="4990"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环保合格园区</w:t>
            </w:r>
          </w:p>
        </w:tc>
        <w:tc>
          <w:tcPr>
            <w:tcW w:w="284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6-9分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3</w:t>
            </w:r>
          </w:p>
        </w:tc>
        <w:tc>
          <w:tcPr>
            <w:tcW w:w="4990"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环保风险园区</w:t>
            </w:r>
          </w:p>
        </w:tc>
        <w:tc>
          <w:tcPr>
            <w:tcW w:w="2841" w:type="dxa"/>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5分及以下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l2br w:val="nil"/>
              <w:tr2bl w:val="nil"/>
            </w:tcBorders>
            <w:vAlign w:val="center"/>
          </w:tcPr>
          <w:p>
            <w:pPr>
              <w:pStyle w:val="8"/>
              <w:snapToGrid w:val="0"/>
              <w:spacing w:after="0"/>
              <w:ind w:left="0" w:leftChars="0" w:firstLine="0" w:firstLineChars="0"/>
              <w:jc w:val="center"/>
              <w:rPr>
                <w:rFonts w:ascii="Times New Roman" w:hAnsi="Times New Roman" w:eastAsia="仿宋"/>
                <w:color w:val="auto"/>
                <w:sz w:val="21"/>
                <w:szCs w:val="21"/>
              </w:rPr>
            </w:pPr>
            <w:r>
              <w:rPr>
                <w:rFonts w:ascii="Times New Roman" w:hAnsi="Times New Roman" w:eastAsia="仿宋"/>
                <w:b/>
                <w:bCs/>
                <w:color w:val="auto"/>
                <w:sz w:val="21"/>
                <w:szCs w:val="21"/>
              </w:rPr>
              <w:t>本园区为“环保诚信园区”</w:t>
            </w: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imes New Roman" w:hAnsi="Times New Roman" w:eastAsia="仿宋"/>
          <w:b/>
          <w:bCs/>
          <w:color w:val="auto"/>
          <w:szCs w:val="32"/>
        </w:rPr>
      </w:pPr>
      <w:r>
        <w:rPr>
          <w:rFonts w:hint="eastAsia" w:ascii="Times New Roman" w:hAnsi="Times New Roman" w:eastAsia="仿宋"/>
          <w:b/>
          <w:bCs/>
          <w:color w:val="auto"/>
          <w:szCs w:val="32"/>
          <w:lang w:eastAsia="zh-CN"/>
        </w:rPr>
        <w:t>三、</w:t>
      </w:r>
      <w:r>
        <w:rPr>
          <w:rFonts w:ascii="Times New Roman" w:hAnsi="Times New Roman" w:eastAsia="仿宋"/>
          <w:b/>
          <w:bCs/>
          <w:color w:val="auto"/>
          <w:szCs w:val="32"/>
        </w:rPr>
        <w:t>园区环保工作成效、主要措施做法</w:t>
      </w:r>
    </w:p>
    <w:p>
      <w:pPr>
        <w:pStyle w:val="8"/>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在县委、县政府的正确领导下，在衡阳市和常宁市生态环境局的大力支持下，园区以科学发展观为统领，严格落实县委、县政府和环保部门下达的各项工作任务。园区各废气排放量较2019年均有所下降。工作废水处理率达到100%，工业固体废弃物综合利用率达到100%。较好的完成了本年度的环保任务。主要工作如下。</w:t>
      </w:r>
    </w:p>
    <w:p>
      <w:pPr>
        <w:pStyle w:val="8"/>
        <w:numPr>
          <w:ilvl w:val="0"/>
          <w:numId w:val="1"/>
        </w:numPr>
        <w:spacing w:after="0" w:line="600" w:lineRule="exact"/>
        <w:ind w:leftChars="0" w:firstLine="640"/>
        <w:rPr>
          <w:rFonts w:ascii="Times New Roman" w:hAnsi="Times New Roman" w:eastAsia="仿宋"/>
          <w:color w:val="auto"/>
          <w:szCs w:val="32"/>
        </w:rPr>
      </w:pPr>
      <w:r>
        <w:rPr>
          <w:rFonts w:hint="eastAsia" w:ascii="Times New Roman" w:hAnsi="Times New Roman" w:eastAsia="仿宋"/>
          <w:color w:val="auto"/>
          <w:szCs w:val="32"/>
        </w:rPr>
        <w:t>加大宣传力度，强化群众环保意识。为提高企业环保意识，园区不断加大宣传力度，充分利用主题活动日等契机，采取多种手段，多措并举，使入园企业环保意识不断增强。</w:t>
      </w:r>
    </w:p>
    <w:p>
      <w:pPr>
        <w:pStyle w:val="8"/>
        <w:numPr>
          <w:ilvl w:val="0"/>
          <w:numId w:val="1"/>
        </w:numPr>
        <w:spacing w:after="0" w:line="600" w:lineRule="exact"/>
        <w:ind w:leftChars="0" w:firstLine="640"/>
        <w:rPr>
          <w:rFonts w:ascii="Times New Roman" w:hAnsi="Times New Roman" w:eastAsia="仿宋"/>
          <w:color w:val="auto"/>
          <w:szCs w:val="32"/>
        </w:rPr>
      </w:pPr>
      <w:r>
        <w:rPr>
          <w:rFonts w:hint="eastAsia" w:ascii="Times New Roman" w:hAnsi="Times New Roman" w:eastAsia="仿宋"/>
          <w:color w:val="auto"/>
          <w:szCs w:val="32"/>
        </w:rPr>
        <w:t>坚持依法行政，确保达标排放。依法对工业企业加强环境监管工作，对重点企业开展专项治理，严厉打击偷排漏排行为。</w:t>
      </w:r>
    </w:p>
    <w:p>
      <w:pPr>
        <w:pStyle w:val="8"/>
        <w:spacing w:after="0" w:line="600" w:lineRule="exact"/>
        <w:ind w:left="0" w:leftChars="0" w:firstLine="643"/>
        <w:rPr>
          <w:rFonts w:ascii="Times New Roman" w:hAnsi="Times New Roman" w:eastAsia="仿宋"/>
          <w:b/>
          <w:bCs/>
          <w:color w:val="auto"/>
          <w:szCs w:val="32"/>
        </w:rPr>
      </w:pPr>
      <w:r>
        <w:rPr>
          <w:rFonts w:ascii="Times New Roman" w:hAnsi="Times New Roman" w:eastAsia="仿宋"/>
          <w:b/>
          <w:bCs/>
          <w:color w:val="auto"/>
          <w:szCs w:val="32"/>
        </w:rPr>
        <w:t>四、园区生态环境管理存在主要问题和难题</w:t>
      </w:r>
    </w:p>
    <w:p>
      <w:pPr>
        <w:pStyle w:val="8"/>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1、园区环保人员不足，环保相关工作开展困难。</w:t>
      </w:r>
    </w:p>
    <w:p>
      <w:pPr>
        <w:pStyle w:val="8"/>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2、应急演练等机制还不够完善。</w:t>
      </w:r>
    </w:p>
    <w:p>
      <w:pPr>
        <w:pStyle w:val="8"/>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3、需进一步加强监管，确保企业持续达标排放。</w:t>
      </w:r>
    </w:p>
    <w:p>
      <w:pPr>
        <w:pStyle w:val="8"/>
        <w:spacing w:after="0" w:line="600" w:lineRule="exact"/>
        <w:ind w:left="0" w:leftChars="0" w:firstLine="643"/>
        <w:rPr>
          <w:rFonts w:ascii="Times New Roman" w:hAnsi="Times New Roman" w:eastAsia="仿宋"/>
          <w:b/>
          <w:bCs/>
          <w:color w:val="auto"/>
          <w:szCs w:val="32"/>
        </w:rPr>
      </w:pPr>
      <w:r>
        <w:rPr>
          <w:rFonts w:ascii="Times New Roman" w:hAnsi="Times New Roman" w:eastAsia="仿宋"/>
          <w:b/>
          <w:bCs/>
          <w:color w:val="auto"/>
          <w:szCs w:val="32"/>
        </w:rPr>
        <w:t>五、下一步工作计划</w:t>
      </w:r>
    </w:p>
    <w:bookmarkEnd w:id="0"/>
    <w:p>
      <w:pPr>
        <w:pStyle w:val="8"/>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1、建议尽早引入环保管家。</w:t>
      </w:r>
    </w:p>
    <w:p>
      <w:pPr>
        <w:pStyle w:val="8"/>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2、不断健全新思路，健全完善监管体制机制。</w:t>
      </w:r>
    </w:p>
    <w:p>
      <w:pPr>
        <w:pStyle w:val="8"/>
        <w:spacing w:after="0" w:line="600" w:lineRule="exact"/>
        <w:ind w:left="0" w:leftChars="0" w:firstLine="640"/>
        <w:rPr>
          <w:rFonts w:ascii="Times New Roman" w:hAnsi="Times New Roman" w:eastAsia="仿宋"/>
          <w:color w:val="auto"/>
          <w:szCs w:val="32"/>
        </w:rPr>
      </w:pPr>
      <w:r>
        <w:rPr>
          <w:rFonts w:hint="eastAsia" w:ascii="Times New Roman" w:hAnsi="Times New Roman" w:eastAsia="仿宋"/>
          <w:color w:val="auto"/>
          <w:szCs w:val="32"/>
        </w:rPr>
        <w:t>3、严格执法，强力推进水、大气、土壤等三大污染防治工作。</w:t>
      </w:r>
    </w:p>
    <w:p>
      <w:pPr>
        <w:pStyle w:val="8"/>
        <w:spacing w:after="0" w:line="600" w:lineRule="exact"/>
        <w:ind w:left="560" w:firstLine="640"/>
        <w:rPr>
          <w:rFonts w:ascii="Times New Roman" w:hAnsi="Times New Roman" w:eastAsia="仿宋"/>
          <w:color w:val="auto"/>
          <w:szCs w:val="32"/>
        </w:rPr>
      </w:pPr>
    </w:p>
    <w:p>
      <w:pPr>
        <w:pStyle w:val="8"/>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 xml:space="preserve">             湖南常宁水口山经济开发区管委会</w:t>
      </w:r>
    </w:p>
    <w:p>
      <w:pPr>
        <w:pStyle w:val="8"/>
        <w:spacing w:after="0" w:line="600" w:lineRule="exact"/>
        <w:ind w:left="0" w:leftChars="0" w:firstLine="640"/>
        <w:rPr>
          <w:rFonts w:ascii="Times New Roman" w:hAnsi="Times New Roman" w:eastAsia="仿宋"/>
          <w:color w:val="auto"/>
          <w:szCs w:val="32"/>
        </w:rPr>
      </w:pPr>
      <w:r>
        <w:rPr>
          <w:rFonts w:ascii="Times New Roman" w:hAnsi="Times New Roman" w:eastAsia="仿宋"/>
          <w:color w:val="auto"/>
          <w:szCs w:val="32"/>
        </w:rPr>
        <w:t xml:space="preserve">                            2021年3月3日</w:t>
      </w:r>
    </w:p>
    <w:bookmarkEnd w:id="3"/>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00000" w:csb1="00000000"/>
    <w:embedRegular r:id="rId1" w:fontKey="{D16A2BAE-E36B-4459-AB7E-FEA493482BB2}"/>
  </w:font>
  <w:font w:name="仿宋">
    <w:panose1 w:val="02010609060101010101"/>
    <w:charset w:val="86"/>
    <w:family w:val="modern"/>
    <w:pitch w:val="default"/>
    <w:sig w:usb0="800002BF" w:usb1="38CF7CFA" w:usb2="00000016" w:usb3="00000000" w:csb0="00040001" w:csb1="00000000"/>
    <w:embedRegular r:id="rId2" w:fontKey="{61E13EF6-A928-41F0-98E4-621673412B4E}"/>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sz w:val="24"/>
      </w:rP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9 -</w:t>
                </w:r>
                <w:r>
                  <w:rPr>
                    <w:rFonts w:hint="eastAsia" w:ascii="仿宋_GB2312" w:hAnsi="仿宋_GB2312" w:eastAsia="仿宋_GB2312" w:cs="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A3C8FE"/>
    <w:multiLevelType w:val="singleLevel"/>
    <w:tmpl w:val="BDA3C8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documentProtection w:edit="trackedChanges"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7498"/>
    <w:rsid w:val="00006D23"/>
    <w:rsid w:val="00033480"/>
    <w:rsid w:val="00066282"/>
    <w:rsid w:val="00092D51"/>
    <w:rsid w:val="000A0B92"/>
    <w:rsid w:val="000D0729"/>
    <w:rsid w:val="00101EBB"/>
    <w:rsid w:val="0011725E"/>
    <w:rsid w:val="00136008"/>
    <w:rsid w:val="001523F0"/>
    <w:rsid w:val="001770AF"/>
    <w:rsid w:val="001A17B0"/>
    <w:rsid w:val="00235968"/>
    <w:rsid w:val="00235D91"/>
    <w:rsid w:val="00286D44"/>
    <w:rsid w:val="002B7E00"/>
    <w:rsid w:val="002D3950"/>
    <w:rsid w:val="003023F5"/>
    <w:rsid w:val="00352F7F"/>
    <w:rsid w:val="00375349"/>
    <w:rsid w:val="003824C5"/>
    <w:rsid w:val="00384FCB"/>
    <w:rsid w:val="003937A7"/>
    <w:rsid w:val="003A00F3"/>
    <w:rsid w:val="003F1892"/>
    <w:rsid w:val="003F3C1D"/>
    <w:rsid w:val="003F7F6A"/>
    <w:rsid w:val="00425ECB"/>
    <w:rsid w:val="0043318C"/>
    <w:rsid w:val="00442622"/>
    <w:rsid w:val="004456EC"/>
    <w:rsid w:val="00471E73"/>
    <w:rsid w:val="004F31A9"/>
    <w:rsid w:val="00506CDE"/>
    <w:rsid w:val="0057187C"/>
    <w:rsid w:val="00580EDD"/>
    <w:rsid w:val="0058707D"/>
    <w:rsid w:val="005A4F49"/>
    <w:rsid w:val="005B5568"/>
    <w:rsid w:val="005C4119"/>
    <w:rsid w:val="005D4A37"/>
    <w:rsid w:val="006046B3"/>
    <w:rsid w:val="006065E6"/>
    <w:rsid w:val="0061758C"/>
    <w:rsid w:val="00650C76"/>
    <w:rsid w:val="00694C70"/>
    <w:rsid w:val="006D17EC"/>
    <w:rsid w:val="006D249E"/>
    <w:rsid w:val="006E0B40"/>
    <w:rsid w:val="00706767"/>
    <w:rsid w:val="00743D0F"/>
    <w:rsid w:val="00753B33"/>
    <w:rsid w:val="007707A4"/>
    <w:rsid w:val="00772C78"/>
    <w:rsid w:val="007D6DF6"/>
    <w:rsid w:val="007E56A4"/>
    <w:rsid w:val="007F2DF5"/>
    <w:rsid w:val="00812A97"/>
    <w:rsid w:val="008220B5"/>
    <w:rsid w:val="00826DDB"/>
    <w:rsid w:val="008420C1"/>
    <w:rsid w:val="00843618"/>
    <w:rsid w:val="00845A70"/>
    <w:rsid w:val="008563FB"/>
    <w:rsid w:val="008659F5"/>
    <w:rsid w:val="0087677B"/>
    <w:rsid w:val="00885398"/>
    <w:rsid w:val="008B4B10"/>
    <w:rsid w:val="008C2D63"/>
    <w:rsid w:val="008F0F88"/>
    <w:rsid w:val="00923410"/>
    <w:rsid w:val="00941F45"/>
    <w:rsid w:val="00993FFC"/>
    <w:rsid w:val="00A0532B"/>
    <w:rsid w:val="00A07498"/>
    <w:rsid w:val="00A535C0"/>
    <w:rsid w:val="00A71DB5"/>
    <w:rsid w:val="00A93594"/>
    <w:rsid w:val="00A96BA8"/>
    <w:rsid w:val="00AA4FA7"/>
    <w:rsid w:val="00AD1715"/>
    <w:rsid w:val="00B27D8C"/>
    <w:rsid w:val="00B73950"/>
    <w:rsid w:val="00BA0D92"/>
    <w:rsid w:val="00C05DEB"/>
    <w:rsid w:val="00C22990"/>
    <w:rsid w:val="00C32DD5"/>
    <w:rsid w:val="00C36F87"/>
    <w:rsid w:val="00C44696"/>
    <w:rsid w:val="00C70FC4"/>
    <w:rsid w:val="00C764FD"/>
    <w:rsid w:val="00CF29F2"/>
    <w:rsid w:val="00D30457"/>
    <w:rsid w:val="00D334CF"/>
    <w:rsid w:val="00D761A8"/>
    <w:rsid w:val="00D76307"/>
    <w:rsid w:val="00D86BB7"/>
    <w:rsid w:val="00DA6885"/>
    <w:rsid w:val="00E10BCE"/>
    <w:rsid w:val="00E64AEC"/>
    <w:rsid w:val="00E65F04"/>
    <w:rsid w:val="00E6717B"/>
    <w:rsid w:val="00E67F7F"/>
    <w:rsid w:val="00E91E16"/>
    <w:rsid w:val="00E945E2"/>
    <w:rsid w:val="00EB596F"/>
    <w:rsid w:val="00EB7B2A"/>
    <w:rsid w:val="00F30FCB"/>
    <w:rsid w:val="00F40E74"/>
    <w:rsid w:val="00F90C5F"/>
    <w:rsid w:val="00FA0C60"/>
    <w:rsid w:val="00FA2CE6"/>
    <w:rsid w:val="00FB6939"/>
    <w:rsid w:val="00FC352A"/>
    <w:rsid w:val="00FE0D83"/>
    <w:rsid w:val="00FF70D7"/>
    <w:rsid w:val="02692AE6"/>
    <w:rsid w:val="02740815"/>
    <w:rsid w:val="02DE3352"/>
    <w:rsid w:val="02DF24A3"/>
    <w:rsid w:val="031421DC"/>
    <w:rsid w:val="038911B9"/>
    <w:rsid w:val="04CD2E69"/>
    <w:rsid w:val="04E76AF9"/>
    <w:rsid w:val="05AD45F6"/>
    <w:rsid w:val="063F0AAF"/>
    <w:rsid w:val="064D08FF"/>
    <w:rsid w:val="07231052"/>
    <w:rsid w:val="07563FF1"/>
    <w:rsid w:val="078D1734"/>
    <w:rsid w:val="079444BF"/>
    <w:rsid w:val="083E472D"/>
    <w:rsid w:val="088E2AB4"/>
    <w:rsid w:val="091E12D9"/>
    <w:rsid w:val="09A55DB0"/>
    <w:rsid w:val="0A5B50D9"/>
    <w:rsid w:val="0A7A4BBD"/>
    <w:rsid w:val="0B027DD6"/>
    <w:rsid w:val="0B3B79F1"/>
    <w:rsid w:val="0BC62A15"/>
    <w:rsid w:val="0C031DB4"/>
    <w:rsid w:val="0D05052B"/>
    <w:rsid w:val="0D461E2C"/>
    <w:rsid w:val="0DBC72C7"/>
    <w:rsid w:val="0DD2214A"/>
    <w:rsid w:val="0F743702"/>
    <w:rsid w:val="0FAE4671"/>
    <w:rsid w:val="10571BBC"/>
    <w:rsid w:val="10606E27"/>
    <w:rsid w:val="10FD2F42"/>
    <w:rsid w:val="11183B09"/>
    <w:rsid w:val="12CD4AEB"/>
    <w:rsid w:val="12D259AB"/>
    <w:rsid w:val="136C2CC2"/>
    <w:rsid w:val="14B86DC4"/>
    <w:rsid w:val="15F57363"/>
    <w:rsid w:val="163505A8"/>
    <w:rsid w:val="169819B4"/>
    <w:rsid w:val="17EB4081"/>
    <w:rsid w:val="17FB1BA0"/>
    <w:rsid w:val="189046DC"/>
    <w:rsid w:val="18EC7687"/>
    <w:rsid w:val="19304820"/>
    <w:rsid w:val="1960789F"/>
    <w:rsid w:val="19790228"/>
    <w:rsid w:val="1A032DF1"/>
    <w:rsid w:val="1BC22A22"/>
    <w:rsid w:val="1C5112BA"/>
    <w:rsid w:val="1C634C71"/>
    <w:rsid w:val="1C65361B"/>
    <w:rsid w:val="2050350F"/>
    <w:rsid w:val="206B06C0"/>
    <w:rsid w:val="21B434DF"/>
    <w:rsid w:val="22154E1B"/>
    <w:rsid w:val="22471604"/>
    <w:rsid w:val="236F049B"/>
    <w:rsid w:val="239A6BC4"/>
    <w:rsid w:val="23BF7940"/>
    <w:rsid w:val="24E71E8E"/>
    <w:rsid w:val="26771A39"/>
    <w:rsid w:val="296239FB"/>
    <w:rsid w:val="2A09566D"/>
    <w:rsid w:val="2AD1499A"/>
    <w:rsid w:val="2C6E2A1F"/>
    <w:rsid w:val="2D9D06E4"/>
    <w:rsid w:val="2DAA7C2B"/>
    <w:rsid w:val="2E3B16EE"/>
    <w:rsid w:val="2EC017CE"/>
    <w:rsid w:val="2EDC4FC4"/>
    <w:rsid w:val="2F12441C"/>
    <w:rsid w:val="2F2A3D94"/>
    <w:rsid w:val="2F7D033F"/>
    <w:rsid w:val="30122F6E"/>
    <w:rsid w:val="30270D99"/>
    <w:rsid w:val="30442D2D"/>
    <w:rsid w:val="30507E04"/>
    <w:rsid w:val="30E14BCE"/>
    <w:rsid w:val="3119524D"/>
    <w:rsid w:val="323703B5"/>
    <w:rsid w:val="330C3A0E"/>
    <w:rsid w:val="33AF0570"/>
    <w:rsid w:val="341076EC"/>
    <w:rsid w:val="34253814"/>
    <w:rsid w:val="34967EA3"/>
    <w:rsid w:val="354E41DB"/>
    <w:rsid w:val="35B2429C"/>
    <w:rsid w:val="36542E24"/>
    <w:rsid w:val="365C6427"/>
    <w:rsid w:val="36892D2E"/>
    <w:rsid w:val="37180145"/>
    <w:rsid w:val="375E0813"/>
    <w:rsid w:val="39742B18"/>
    <w:rsid w:val="39D85DF5"/>
    <w:rsid w:val="39E84D6F"/>
    <w:rsid w:val="3A2869A0"/>
    <w:rsid w:val="3A9B533C"/>
    <w:rsid w:val="3AD73FBC"/>
    <w:rsid w:val="3C03033D"/>
    <w:rsid w:val="3C7C7425"/>
    <w:rsid w:val="3EE41598"/>
    <w:rsid w:val="3F374B19"/>
    <w:rsid w:val="40347902"/>
    <w:rsid w:val="40903735"/>
    <w:rsid w:val="40E14D02"/>
    <w:rsid w:val="41BB7E3D"/>
    <w:rsid w:val="41CD293C"/>
    <w:rsid w:val="42070DF0"/>
    <w:rsid w:val="42AC7C32"/>
    <w:rsid w:val="43046F38"/>
    <w:rsid w:val="43995F2A"/>
    <w:rsid w:val="459B211B"/>
    <w:rsid w:val="45DE2880"/>
    <w:rsid w:val="4601164E"/>
    <w:rsid w:val="46E64D11"/>
    <w:rsid w:val="47AF258A"/>
    <w:rsid w:val="47AF5AC7"/>
    <w:rsid w:val="494E6767"/>
    <w:rsid w:val="4A480F6C"/>
    <w:rsid w:val="4AD6158C"/>
    <w:rsid w:val="4B6A38AC"/>
    <w:rsid w:val="4BC42C29"/>
    <w:rsid w:val="4C304F5B"/>
    <w:rsid w:val="4C710F17"/>
    <w:rsid w:val="4D3D0D92"/>
    <w:rsid w:val="4D4964A5"/>
    <w:rsid w:val="4D6A2CF5"/>
    <w:rsid w:val="4E8C6911"/>
    <w:rsid w:val="4EAE084C"/>
    <w:rsid w:val="4EE54797"/>
    <w:rsid w:val="4F035350"/>
    <w:rsid w:val="4F9A03DA"/>
    <w:rsid w:val="4FA109E7"/>
    <w:rsid w:val="4FCE73B7"/>
    <w:rsid w:val="50083C27"/>
    <w:rsid w:val="502E76B5"/>
    <w:rsid w:val="51B113F5"/>
    <w:rsid w:val="51B73AE6"/>
    <w:rsid w:val="52D55BF7"/>
    <w:rsid w:val="53DB128C"/>
    <w:rsid w:val="54B31911"/>
    <w:rsid w:val="556B5B4E"/>
    <w:rsid w:val="55907842"/>
    <w:rsid w:val="5691770D"/>
    <w:rsid w:val="57EE248F"/>
    <w:rsid w:val="58CB6B5E"/>
    <w:rsid w:val="592025F8"/>
    <w:rsid w:val="594F0D68"/>
    <w:rsid w:val="59774600"/>
    <w:rsid w:val="59A94BC9"/>
    <w:rsid w:val="59E051B2"/>
    <w:rsid w:val="59FB3809"/>
    <w:rsid w:val="5A926B15"/>
    <w:rsid w:val="5B461B6B"/>
    <w:rsid w:val="5B615099"/>
    <w:rsid w:val="5BFF21B4"/>
    <w:rsid w:val="5C801C72"/>
    <w:rsid w:val="5DD463E7"/>
    <w:rsid w:val="5DE73121"/>
    <w:rsid w:val="5E0F2F0D"/>
    <w:rsid w:val="5E6B0686"/>
    <w:rsid w:val="5EFB7FBC"/>
    <w:rsid w:val="5F1A1C8B"/>
    <w:rsid w:val="5F373FEB"/>
    <w:rsid w:val="5F7E1C5A"/>
    <w:rsid w:val="5FD93B1F"/>
    <w:rsid w:val="600E5283"/>
    <w:rsid w:val="61D853CB"/>
    <w:rsid w:val="623F4168"/>
    <w:rsid w:val="62D514A6"/>
    <w:rsid w:val="633B667E"/>
    <w:rsid w:val="64085B12"/>
    <w:rsid w:val="64B87462"/>
    <w:rsid w:val="655D305B"/>
    <w:rsid w:val="658D4468"/>
    <w:rsid w:val="65DE389B"/>
    <w:rsid w:val="6632531A"/>
    <w:rsid w:val="66C069AC"/>
    <w:rsid w:val="676656CF"/>
    <w:rsid w:val="67711C73"/>
    <w:rsid w:val="67A75B3C"/>
    <w:rsid w:val="68A17CBA"/>
    <w:rsid w:val="68CA4E18"/>
    <w:rsid w:val="691003BF"/>
    <w:rsid w:val="69256E8B"/>
    <w:rsid w:val="69370EA5"/>
    <w:rsid w:val="6981583E"/>
    <w:rsid w:val="698E24F3"/>
    <w:rsid w:val="69D40D7A"/>
    <w:rsid w:val="6A7852A8"/>
    <w:rsid w:val="6A9B3383"/>
    <w:rsid w:val="6ACE55D2"/>
    <w:rsid w:val="6B936ACE"/>
    <w:rsid w:val="6C1A2BE6"/>
    <w:rsid w:val="6C4340E9"/>
    <w:rsid w:val="6CA62488"/>
    <w:rsid w:val="6CC22D46"/>
    <w:rsid w:val="6D2445E4"/>
    <w:rsid w:val="6E3C7818"/>
    <w:rsid w:val="6E90737E"/>
    <w:rsid w:val="6ECB2883"/>
    <w:rsid w:val="6EDB5DB6"/>
    <w:rsid w:val="6EEE0459"/>
    <w:rsid w:val="6F6D3DAB"/>
    <w:rsid w:val="6F7332F3"/>
    <w:rsid w:val="6FDD7C2B"/>
    <w:rsid w:val="7043594C"/>
    <w:rsid w:val="719721EE"/>
    <w:rsid w:val="73086CDB"/>
    <w:rsid w:val="73496957"/>
    <w:rsid w:val="73767AF2"/>
    <w:rsid w:val="7380576C"/>
    <w:rsid w:val="74D45750"/>
    <w:rsid w:val="769929E0"/>
    <w:rsid w:val="7AA129E3"/>
    <w:rsid w:val="7AF65AA6"/>
    <w:rsid w:val="7B08648E"/>
    <w:rsid w:val="7B764324"/>
    <w:rsid w:val="7CAE0CFB"/>
    <w:rsid w:val="7E9B616C"/>
    <w:rsid w:val="7F2F2E75"/>
    <w:rsid w:val="7FF7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eastAsia="宋体"/>
      <w:color w:val="000000"/>
      <w:kern w:val="0"/>
      <w:sz w:val="24"/>
      <w:szCs w:val="24"/>
    </w:rPr>
  </w:style>
  <w:style w:type="paragraph" w:styleId="3">
    <w:name w:val="annotation text"/>
    <w:basedOn w:val="1"/>
    <w:semiHidden/>
    <w:unhideWhenUsed/>
    <w:qFormat/>
    <w:uiPriority w:val="99"/>
    <w:pPr>
      <w:jc w:val="left"/>
    </w:pPr>
  </w:style>
  <w:style w:type="paragraph" w:styleId="4">
    <w:name w:val="Body Text Indent"/>
    <w:basedOn w:val="1"/>
    <w:unhideWhenUsed/>
    <w:qFormat/>
    <w:uiPriority w:val="99"/>
    <w:pPr>
      <w:spacing w:after="120"/>
      <w:ind w:left="420" w:leftChars="200"/>
    </w:p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ind w:firstLine="420" w:firstLineChars="200"/>
    </w:pPr>
    <w:rPr>
      <w:rFonts w:ascii="Calibri" w:hAnsi="Calibri" w:eastAsia="宋体" w:cs="Times New Roman"/>
      <w:sz w:val="32"/>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脚 字符"/>
    <w:basedOn w:val="11"/>
    <w:semiHidden/>
    <w:qFormat/>
    <w:uiPriority w:val="99"/>
    <w:rPr>
      <w:sz w:val="18"/>
      <w:szCs w:val="18"/>
    </w:rPr>
  </w:style>
  <w:style w:type="character" w:customStyle="1" w:styleId="14">
    <w:name w:val="页脚 Char"/>
    <w:basedOn w:val="11"/>
    <w:link w:val="6"/>
    <w:qFormat/>
    <w:uiPriority w:val="0"/>
    <w:rPr>
      <w:sz w:val="18"/>
      <w:szCs w:val="18"/>
    </w:rPr>
  </w:style>
  <w:style w:type="paragraph" w:customStyle="1" w:styleId="15">
    <w:name w:val="标准文字"/>
    <w:basedOn w:val="1"/>
    <w:link w:val="16"/>
    <w:qFormat/>
    <w:uiPriority w:val="0"/>
    <w:pPr>
      <w:overflowPunct w:val="0"/>
      <w:spacing w:line="360" w:lineRule="auto"/>
      <w:ind w:firstLine="600" w:firstLineChars="200"/>
    </w:pPr>
    <w:rPr>
      <w:rFonts w:ascii="Times New Roman" w:hAnsi="Times New Roman" w:eastAsia="仿宋_GB2312" w:cs="Times New Roman"/>
      <w:sz w:val="30"/>
      <w:szCs w:val="30"/>
    </w:rPr>
  </w:style>
  <w:style w:type="character" w:customStyle="1" w:styleId="16">
    <w:name w:val="标准文字 Char"/>
    <w:link w:val="15"/>
    <w:qFormat/>
    <w:locked/>
    <w:uiPriority w:val="0"/>
    <w:rPr>
      <w:rFonts w:ascii="Times New Roman" w:hAnsi="Times New Roman" w:eastAsia="仿宋_GB2312" w:cs="Times New Roman"/>
      <w:sz w:val="30"/>
      <w:szCs w:val="30"/>
    </w:rPr>
  </w:style>
  <w:style w:type="character" w:customStyle="1" w:styleId="17">
    <w:name w:val="NormalCharacter"/>
    <w:qFormat/>
    <w:uiPriority w:val="0"/>
  </w:style>
  <w:style w:type="table" w:customStyle="1" w:styleId="18">
    <w:name w:val="TableGrid"/>
    <w:qFormat/>
    <w:uiPriority w:val="0"/>
    <w:tblPr>
      <w:tblCellMar>
        <w:top w:w="0" w:type="dxa"/>
        <w:left w:w="0" w:type="dxa"/>
        <w:bottom w:w="0" w:type="dxa"/>
        <w:right w:w="0" w:type="dxa"/>
      </w:tblCellMar>
    </w:tblPr>
  </w:style>
  <w:style w:type="character" w:customStyle="1" w:styleId="19">
    <w:name w:val="页眉 Char"/>
    <w:basedOn w:val="11"/>
    <w:link w:val="7"/>
    <w:qFormat/>
    <w:uiPriority w:val="99"/>
    <w:rPr>
      <w:sz w:val="18"/>
      <w:szCs w:val="18"/>
    </w:rPr>
  </w:style>
  <w:style w:type="character" w:customStyle="1" w:styleId="20">
    <w:name w:val="批注框文本 Char"/>
    <w:basedOn w:val="11"/>
    <w:link w:val="5"/>
    <w:semiHidden/>
    <w:qFormat/>
    <w:uiPriority w:val="99"/>
    <w:rPr>
      <w:sz w:val="18"/>
      <w:szCs w:val="18"/>
    </w:rPr>
  </w:style>
  <w:style w:type="character" w:customStyle="1" w:styleId="21">
    <w:name w:val="font01"/>
    <w:basedOn w:val="11"/>
    <w:qFormat/>
    <w:uiPriority w:val="0"/>
    <w:rPr>
      <w:rFonts w:ascii="仿宋" w:hAnsi="仿宋" w:eastAsia="仿宋" w:cs="仿宋"/>
      <w:color w:val="000000"/>
      <w:sz w:val="21"/>
      <w:szCs w:val="21"/>
      <w:u w:val="none"/>
    </w:rPr>
  </w:style>
  <w:style w:type="character" w:customStyle="1" w:styleId="22">
    <w:name w:val="font11"/>
    <w:basedOn w:val="11"/>
    <w:qFormat/>
    <w:uiPriority w:val="0"/>
    <w:rPr>
      <w:rFonts w:hint="default" w:ascii="Times New Roman" w:hAnsi="Times New Roman" w:cs="Times New Roman"/>
      <w:color w:val="000000"/>
      <w:sz w:val="21"/>
      <w:szCs w:val="21"/>
      <w:u w:val="none"/>
    </w:rPr>
  </w:style>
  <w:style w:type="paragraph" w:customStyle="1" w:styleId="23">
    <w:name w:val="表文"/>
    <w:basedOn w:val="1"/>
    <w:qFormat/>
    <w:uiPriority w:val="0"/>
    <w:pPr>
      <w:jc w:val="center"/>
    </w:pPr>
    <w:rPr>
      <w:kern w:val="24"/>
      <w:position w:val="-24"/>
      <w:sz w:val="21"/>
      <w:szCs w:val="21"/>
    </w:rPr>
  </w:style>
  <w:style w:type="character" w:customStyle="1" w:styleId="24">
    <w:name w:val="font31"/>
    <w:basedOn w:val="11"/>
    <w:qFormat/>
    <w:uiPriority w:val="0"/>
    <w:rPr>
      <w:rFonts w:hint="eastAsia" w:ascii="仿宋" w:hAnsi="仿宋" w:eastAsia="仿宋" w:cs="仿宋"/>
      <w:b/>
      <w:color w:val="000000"/>
      <w:sz w:val="21"/>
      <w:szCs w:val="21"/>
      <w:u w:val="none"/>
    </w:rPr>
  </w:style>
  <w:style w:type="paragraph" w:customStyle="1" w:styleId="25">
    <w:name w:val="Table Paragraph"/>
    <w:basedOn w:val="1"/>
    <w:qFormat/>
    <w:uiPriority w:val="1"/>
    <w:rPr>
      <w:rFonts w:ascii="仿宋" w:hAnsi="仿宋" w:eastAsia="仿宋" w:cs="仿宋"/>
    </w:rPr>
  </w:style>
  <w:style w:type="paragraph" w:customStyle="1" w:styleId="26">
    <w:name w:val="Revision"/>
    <w:hidden/>
    <w:unhideWhenUsed/>
    <w:qFormat/>
    <w:uiPriority w:val="99"/>
    <w:rPr>
      <w:rFonts w:asciiTheme="minorHAnsi" w:hAnsiTheme="minorHAnsi" w:eastAsiaTheme="minorEastAsia"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C2EB9-2F5A-4513-87DA-BF5B165F6AE3}">
  <ds:schemaRefs/>
</ds:datastoreItem>
</file>

<file path=docProps/app.xml><?xml version="1.0" encoding="utf-8"?>
<Properties xmlns="http://schemas.openxmlformats.org/officeDocument/2006/extended-properties" xmlns:vt="http://schemas.openxmlformats.org/officeDocument/2006/docPropsVTypes">
  <Template>Normal</Template>
  <Pages>14</Pages>
  <Words>1637</Words>
  <Characters>9332</Characters>
  <Lines>77</Lines>
  <Paragraphs>21</Paragraphs>
  <TotalTime>0</TotalTime>
  <ScaleCrop>false</ScaleCrop>
  <LinksUpToDate>false</LinksUpToDate>
  <CharactersWithSpaces>10948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2020-07-28T16:30:00Z</dcterms:created>
  <dc:creator>傲德姆</dc:creator>
  <cp:lastModifiedBy>cfd</cp:lastModifiedBy>
  <cp:lastPrinted>2020-12-28T02:52:00Z</cp:lastPrinted>
  <dcterms:modified xsi:type="dcterms:W3CDTF">2021-03-05T13:23:49Z</dcterms:modified>
  <dc:title>x x 省x x市城市黑臭水体</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