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wordWrap/>
        <w:adjustRightInd/>
        <w:snapToGrid/>
        <w:spacing w:before="900" w:beforeAutospacing="0" w:after="900" w:afterAutospacing="0" w:line="3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36"/>
          <w:szCs w:val="36"/>
          <w:shd w:val="clear" w:color="030000" w:fill="FFFFFF"/>
        </w:rPr>
      </w:pPr>
      <w:r>
        <w:rPr>
          <w:rFonts w:hint="eastAsia" w:ascii="宋体" w:hAnsi="宋体" w:eastAsia="宋体" w:cs="宋体"/>
          <w:color w:val="auto"/>
          <w:sz w:val="36"/>
          <w:szCs w:val="36"/>
          <w:shd w:val="clear" w:color="030000" w:fill="FFFFFF"/>
        </w:rPr>
        <w:t>201</w:t>
      </w:r>
      <w:r>
        <w:rPr>
          <w:rFonts w:hint="eastAsia" w:ascii="宋体" w:hAnsi="宋体" w:eastAsia="宋体" w:cs="宋体"/>
          <w:color w:val="auto"/>
          <w:sz w:val="36"/>
          <w:szCs w:val="36"/>
          <w:shd w:val="clear" w:color="030000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36"/>
          <w:szCs w:val="36"/>
          <w:shd w:val="clear" w:color="030000" w:fill="FFFFFF"/>
        </w:rPr>
        <w:t>年</w:t>
      </w:r>
      <w:r>
        <w:rPr>
          <w:rFonts w:hint="eastAsia" w:ascii="宋体" w:hAnsi="宋体" w:eastAsia="宋体" w:cs="宋体"/>
          <w:color w:val="auto"/>
          <w:sz w:val="36"/>
          <w:szCs w:val="36"/>
          <w:shd w:val="clear" w:color="040000" w:fill="FFFFFF"/>
          <w:lang w:val="en-US" w:eastAsia="zh-CN"/>
        </w:rPr>
        <w:t>常宁市财政总决算</w:t>
      </w:r>
      <w:r>
        <w:rPr>
          <w:rFonts w:hint="eastAsia" w:ascii="宋体" w:hAnsi="宋体" w:eastAsia="宋体" w:cs="宋体"/>
          <w:color w:val="auto"/>
          <w:sz w:val="36"/>
          <w:szCs w:val="36"/>
          <w:shd w:val="clear" w:color="030000" w:fill="FFFFFF"/>
        </w:rPr>
        <w:t>公开目录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shd w:val="clear" w:color="050000" w:fill="FFFFFF"/>
          <w:lang w:val="en-US" w:eastAsia="zh-CN"/>
        </w:rPr>
        <w:t>一、2018年常宁市财政总决算公开情况说明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1. 2018年财政总决算报告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2. 转移支付执行情况说明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3、一般公共预算“三公”经费决算执行情况说明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cs="宋体"/>
          <w:kern w:val="2"/>
          <w:sz w:val="30"/>
          <w:szCs w:val="30"/>
          <w:shd w:val="clear" w:color="040000" w:fill="FFFFFF"/>
          <w:lang w:val="en-US" w:eastAsia="zh-CN"/>
        </w:rPr>
        <w:t>4、2018年地方政府债务限额、余额情况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cs="宋体"/>
          <w:kern w:val="2"/>
          <w:sz w:val="30"/>
          <w:szCs w:val="30"/>
          <w:shd w:val="clear" w:color="040000" w:fill="FFFFFF"/>
          <w:lang w:val="en-US" w:eastAsia="zh-CN"/>
        </w:rPr>
        <w:t>5、2018年地方政府债务还本付息情况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cs="宋体"/>
          <w:kern w:val="2"/>
          <w:sz w:val="30"/>
          <w:szCs w:val="30"/>
          <w:shd w:val="clear" w:color="040000" w:fill="FFFFFF"/>
          <w:lang w:val="en-US" w:eastAsia="zh-CN"/>
        </w:rPr>
        <w:t>6、2018年地方政府债券发行情况</w:t>
      </w:r>
      <w:bookmarkStart w:id="0" w:name="_GoBack"/>
      <w:bookmarkEnd w:id="0"/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cs="宋体"/>
          <w:kern w:val="2"/>
          <w:sz w:val="30"/>
          <w:szCs w:val="30"/>
          <w:shd w:val="clear" w:color="040000" w:fill="FFFFFF"/>
          <w:lang w:val="en-US" w:eastAsia="zh-CN"/>
        </w:rPr>
        <w:t>7、2018年地方政府债券资金安排使用情况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  <w:shd w:val="clear" w:color="050000" w:fill="FFFFFF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shd w:val="clear" w:color="050000" w:fill="FFFFFF"/>
          <w:lang w:val="en-US" w:eastAsia="zh-CN"/>
        </w:rPr>
        <w:t>二、2018年常宁市财政总决算公开表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b/>
          <w:kern w:val="2"/>
          <w:sz w:val="30"/>
          <w:szCs w:val="30"/>
          <w:shd w:val="clear" w:color="050000" w:fill="FFFFFF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30"/>
          <w:szCs w:val="30"/>
          <w:shd w:val="clear" w:color="050000" w:fill="FFFFFF"/>
          <w:lang w:val="en-US" w:eastAsia="zh-CN"/>
        </w:rPr>
        <w:t>一、一般公共预算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1、一般公共预算收入决算表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2、一般公共预算支出决算表（功能分类到项级）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3、一般公共预算基本支出决算表（经济分类表）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4、一般公共预算税收返还和转移支付决算表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5、政府一般债务限额和余额情况决算表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cs="宋体"/>
          <w:kern w:val="2"/>
          <w:sz w:val="30"/>
          <w:szCs w:val="30"/>
          <w:shd w:val="clear" w:color="040000" w:fill="FFFFFF"/>
          <w:lang w:val="en-US" w:eastAsia="zh-CN"/>
        </w:rPr>
        <w:t>6、</w:t>
      </w: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一般公共预算本级支出决算表（功能分类到项级</w:t>
      </w:r>
      <w:r>
        <w:rPr>
          <w:rFonts w:hint="eastAsia" w:ascii="宋体" w:hAnsi="宋体" w:cs="宋体"/>
          <w:kern w:val="2"/>
          <w:sz w:val="30"/>
          <w:szCs w:val="30"/>
          <w:shd w:val="clear" w:color="040000" w:fill="FFFFFF"/>
          <w:lang w:val="en-US" w:eastAsia="zh-CN"/>
        </w:rPr>
        <w:t>）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cs="宋体"/>
          <w:kern w:val="2"/>
          <w:sz w:val="30"/>
          <w:szCs w:val="30"/>
          <w:shd w:val="clear" w:color="040000" w:fill="FFFFFF"/>
          <w:lang w:val="en-US" w:eastAsia="zh-CN"/>
        </w:rPr>
        <w:t>7、</w:t>
      </w: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一般公共预算基本支出决算表（经济分类表）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二、政府性基金决算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1、政府性基金预算收入决算表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2、政府性基金预算支出决算表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3、政府性基金转移支付决算表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4、政府专项债务人限额和余额情况决算表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三、国有资本经营决算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 xml:space="preserve">1、国有资本经营预算收入决算表 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2、国有资本经营预算支出决算表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四、社会保险基金决算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1、社保基金收入决算表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shd w:val="clear" w:color="040000" w:fill="FFFFFF"/>
          <w:lang w:val="en-US" w:eastAsia="zh-CN"/>
        </w:rPr>
        <w:t>2、社保基金支出决算表</w:t>
      </w: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wordWrap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2019-11-04T12:30:00Z</dcterms:created>
  <dc:creator>Administrator</dc:creator>
  <cp:lastModifiedBy>Administrator</cp:lastModifiedBy>
  <dcterms:modified xsi:type="dcterms:W3CDTF">2021-06-02T03:24:14Z</dcterms:modified>
  <dc:title>2018年常宁市财政总决算公开目录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