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2"/>
          <w:szCs w:val="32"/>
        </w:rPr>
        <w:t>附件8</w:t>
      </w: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2017年</w:t>
      </w:r>
      <w:r>
        <w:rPr>
          <w:rFonts w:hint="eastAsia" w:ascii="黑体" w:hAnsi="黑体" w:eastAsia="黑体"/>
          <w:sz w:val="36"/>
          <w:szCs w:val="36"/>
        </w:rPr>
        <w:t>常宁市水口山经济开发区</w:t>
      </w: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预算支出绩效评价报告</w:t>
      </w:r>
    </w:p>
    <w:p>
      <w:pPr>
        <w:spacing w:line="50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一、部门基本情况</w:t>
      </w:r>
    </w:p>
    <w:p>
      <w:pPr>
        <w:widowControl/>
        <w:autoSpaceDN w:val="0"/>
        <w:spacing w:before="100" w:after="100" w:line="560" w:lineRule="exact"/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（一）部门概况。</w:t>
      </w:r>
    </w:p>
    <w:p>
      <w:pPr>
        <w:widowControl/>
        <w:autoSpaceDN w:val="0"/>
        <w:spacing w:before="100" w:after="100" w:line="560" w:lineRule="exact"/>
        <w:ind w:firstLine="602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kern w:val="0"/>
          <w:sz w:val="30"/>
          <w:szCs w:val="30"/>
        </w:rPr>
        <w:t>1.部门职能</w:t>
      </w:r>
      <w:r>
        <w:rPr>
          <w:rFonts w:ascii="仿宋" w:hAnsi="仿宋" w:eastAsia="仿宋"/>
          <w:b/>
          <w:kern w:val="0"/>
          <w:sz w:val="30"/>
          <w:szCs w:val="30"/>
        </w:rPr>
        <w:t>职责</w:t>
      </w:r>
      <w:r>
        <w:rPr>
          <w:rFonts w:hint="eastAsia" w:ascii="仿宋" w:hAnsi="仿宋" w:eastAsia="仿宋"/>
          <w:b/>
          <w:kern w:val="0"/>
          <w:sz w:val="30"/>
          <w:szCs w:val="30"/>
        </w:rPr>
        <w:t>：</w:t>
      </w:r>
    </w:p>
    <w:p>
      <w:pPr>
        <w:widowControl/>
        <w:autoSpaceDN w:val="0"/>
        <w:ind w:firstLine="561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</w:t>
      </w:r>
      <w:r>
        <w:rPr>
          <w:rFonts w:ascii="仿宋" w:hAnsi="仿宋" w:eastAsia="仿宋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ascii="仿宋" w:hAnsi="仿宋" w:eastAsia="仿宋"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招商引资。常宁市水口山经济开发区是政府的派出机构，执行国家的招商引资政策，充分利用国家法律法规调动内资、外资的积极性，来园区投资建设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autoSpaceDN w:val="0"/>
        <w:ind w:firstLine="561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</w:t>
      </w:r>
      <w:r>
        <w:rPr>
          <w:rFonts w:ascii="仿宋" w:hAnsi="仿宋" w:eastAsia="仿宋"/>
          <w:kern w:val="0"/>
          <w:sz w:val="28"/>
          <w:szCs w:val="28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ascii="仿宋" w:hAnsi="仿宋" w:eastAsia="仿宋"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搞好园区内的基础设施建设</w:t>
      </w:r>
      <w:r>
        <w:rPr>
          <w:rFonts w:ascii="仿宋" w:hAnsi="仿宋" w:eastAsia="仿宋"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kern w:val="0"/>
          <w:sz w:val="28"/>
          <w:szCs w:val="28"/>
        </w:rPr>
        <w:t>水口山开发区利用财政项目拨款资金、招商引资资金等，建设好园区内的道路、排水排污管网、土地的三通一平等基础设施建设，为更好地招商引资创造条件。</w:t>
      </w:r>
    </w:p>
    <w:p>
      <w:pPr>
        <w:widowControl/>
        <w:autoSpaceDN w:val="0"/>
        <w:ind w:firstLine="561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</w:t>
      </w:r>
      <w:r>
        <w:rPr>
          <w:rFonts w:ascii="仿宋" w:hAnsi="仿宋" w:eastAsia="仿宋"/>
          <w:kern w:val="0"/>
          <w:sz w:val="28"/>
          <w:szCs w:val="28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ascii="仿宋" w:hAnsi="仿宋" w:eastAsia="仿宋"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执行国家的征地拆迁政策，为拆迁户搞好安置服务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autoSpaceDN w:val="0"/>
        <w:ind w:firstLine="56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</w:t>
      </w:r>
      <w:r>
        <w:rPr>
          <w:rFonts w:ascii="仿宋" w:hAnsi="仿宋" w:eastAsia="仿宋"/>
          <w:kern w:val="0"/>
          <w:sz w:val="28"/>
          <w:szCs w:val="28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ascii="仿宋" w:hAnsi="仿宋" w:eastAsia="仿宋"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执行上级政府部门的领导安排，搞好突击中心工作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84" w:lineRule="atLeast"/>
        <w:jc w:val="left"/>
        <w:rPr>
          <w:rFonts w:ascii="仿宋" w:hAnsi="仿宋" w:eastAsia="仿宋" w:cs="Arial"/>
          <w:b/>
          <w:color w:val="333333"/>
          <w:kern w:val="0"/>
          <w:sz w:val="30"/>
          <w:szCs w:val="30"/>
        </w:rPr>
      </w:pPr>
      <w:r>
        <w:rPr>
          <w:rFonts w:ascii="仿宋" w:hAnsi="仿宋" w:eastAsia="仿宋" w:cs="Arial"/>
          <w:color w:val="333333"/>
          <w:kern w:val="0"/>
          <w:sz w:val="30"/>
          <w:szCs w:val="30"/>
        </w:rPr>
        <w:t>　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30"/>
          <w:szCs w:val="30"/>
        </w:rPr>
        <w:t xml:space="preserve"> 2.</w:t>
      </w:r>
      <w:r>
        <w:rPr>
          <w:rFonts w:ascii="仿宋" w:hAnsi="仿宋" w:eastAsia="仿宋" w:cs="Arial"/>
          <w:b/>
          <w:bCs/>
          <w:color w:val="333333"/>
          <w:kern w:val="0"/>
          <w:sz w:val="30"/>
          <w:szCs w:val="30"/>
        </w:rPr>
        <w:t>部门预算单位构成</w:t>
      </w:r>
      <w:r>
        <w:rPr>
          <w:rFonts w:ascii="Arial" w:hAnsi="Arial" w:eastAsia="仿宋" w:cs="Arial"/>
          <w:b/>
          <w:bCs/>
          <w:color w:val="333333"/>
          <w:kern w:val="0"/>
          <w:sz w:val="30"/>
          <w:szCs w:val="30"/>
        </w:rPr>
        <w:t> </w:t>
      </w:r>
      <w:r>
        <w:rPr>
          <w:rFonts w:hint="eastAsia" w:ascii="Arial" w:hAnsi="Arial" w:eastAsia="仿宋" w:cs="Arial"/>
          <w:b/>
          <w:bCs/>
          <w:color w:val="333333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spacing w:line="384" w:lineRule="atLeast"/>
        <w:ind w:left="482" w:right="466"/>
        <w:jc w:val="left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Arial"/>
          <w:color w:val="333333"/>
          <w:kern w:val="0"/>
          <w:sz w:val="30"/>
          <w:szCs w:val="30"/>
        </w:rPr>
        <w:t>根据编委核定，</w:t>
      </w:r>
      <w:r>
        <w:rPr>
          <w:rFonts w:hint="eastAsia" w:ascii="仿宋" w:hAnsi="仿宋" w:eastAsia="仿宋" w:cs="Arial"/>
          <w:bCs/>
          <w:color w:val="333333"/>
          <w:kern w:val="0"/>
          <w:sz w:val="30"/>
          <w:szCs w:val="30"/>
        </w:rPr>
        <w:t>本单位为常宁市政府派出出单位，副处级行政单位。编制人数35人，实有人数4</w:t>
      </w:r>
      <w:r>
        <w:rPr>
          <w:rFonts w:hint="eastAsia" w:ascii="仿宋" w:hAnsi="仿宋" w:eastAsia="仿宋" w:cs="Arial"/>
          <w:bCs/>
          <w:color w:val="333333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Arial"/>
          <w:bCs/>
          <w:color w:val="333333"/>
          <w:kern w:val="0"/>
          <w:sz w:val="30"/>
          <w:szCs w:val="30"/>
        </w:rPr>
        <w:t>人。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  <w:t>内设机构7 个，即 ：党政办公室、财政局、招商合作局、产业发展局、建设局、社会事务管理局、政务服务部。纪检机构按有关规定设置。全部纳入201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  <w:t>年部门预算编制范围。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 w:cs="Arial"/>
          <w:color w:val="333333"/>
          <w:kern w:val="0"/>
          <w:sz w:val="30"/>
          <w:szCs w:val="30"/>
        </w:rPr>
      </w:pPr>
      <w:r>
        <w:rPr>
          <w:rFonts w:ascii="仿宋" w:hAnsi="仿宋" w:eastAsia="仿宋" w:cs="Arial"/>
          <w:color w:val="333333"/>
          <w:kern w:val="0"/>
          <w:sz w:val="30"/>
          <w:szCs w:val="30"/>
        </w:rPr>
        <w:t>　　</w:t>
      </w: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　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 w:cs="Arial"/>
          <w:b/>
          <w:color w:val="333333"/>
          <w:kern w:val="0"/>
          <w:sz w:val="30"/>
          <w:szCs w:val="30"/>
        </w:rPr>
      </w:pPr>
      <w:r>
        <w:rPr>
          <w:rFonts w:ascii="仿宋" w:hAnsi="仿宋" w:eastAsia="仿宋" w:cs="Arial"/>
          <w:color w:val="333333"/>
          <w:kern w:val="0"/>
          <w:sz w:val="30"/>
          <w:szCs w:val="30"/>
        </w:rPr>
        <w:t>　</w:t>
      </w:r>
    </w:p>
    <w:p>
      <w:pPr>
        <w:widowControl/>
        <w:numPr>
          <w:ilvl w:val="0"/>
          <w:numId w:val="1"/>
        </w:numPr>
        <w:shd w:val="clear" w:color="auto" w:fill="FFFFFF"/>
        <w:spacing w:line="384" w:lineRule="atLeast"/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部门资金决算情况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sz w:val="30"/>
          <w:szCs w:val="30"/>
          <w:shd w:val="clear" w:color="auto" w:fill="F6F6F6"/>
        </w:rPr>
        <w:t>　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</w:rPr>
        <w:t>年总收入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val="en-US" w:eastAsia="zh-CN"/>
        </w:rPr>
        <w:t>2008.02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</w:rPr>
        <w:t>万元。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eastAsia="zh-CN"/>
        </w:rPr>
        <w:t>比上年减少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val="en-US" w:eastAsia="zh-CN"/>
        </w:rPr>
        <w:t>2605.35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eastAsia="zh-CN"/>
        </w:rPr>
        <w:t>万元，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</w:rPr>
        <w:t>比上年减少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val="en-US" w:eastAsia="zh-CN"/>
        </w:rPr>
        <w:t>56.4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</w:rPr>
        <w:t>%。其中财政拨款收入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val="en-US" w:eastAsia="zh-CN"/>
        </w:rPr>
        <w:t>2008.02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</w:rPr>
        <w:t>万元，占总收入的100%，总支出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val="en-US" w:eastAsia="zh-CN"/>
        </w:rPr>
        <w:t>2008.02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</w:rPr>
        <w:t>万元，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eastAsia="zh-CN"/>
        </w:rPr>
        <w:t>比上年减少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val="en-US" w:eastAsia="zh-CN"/>
        </w:rPr>
        <w:t>2605.35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eastAsia="zh-CN"/>
        </w:rPr>
        <w:t>万元，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</w:rPr>
        <w:t>比上年减少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val="en-US" w:eastAsia="zh-CN"/>
        </w:rPr>
        <w:t>56.4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</w:rPr>
        <w:t>%。其中</w:t>
      </w:r>
      <w: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sz w:val="30"/>
          <w:szCs w:val="30"/>
          <w:shd w:val="clear" w:color="auto" w:fill="F6F6F6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eastAsia="zh-CN"/>
        </w:rPr>
        <w:t>基本支出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val="en-US" w:eastAsia="zh-CN"/>
        </w:rPr>
        <w:t>296.46万元，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</w:rPr>
        <w:t>按功能科目分类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</w:rPr>
        <w:t>一般公共服务支出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val="en-US" w:eastAsia="zh-CN"/>
        </w:rPr>
        <w:t>296.46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eastAsia="zh-CN"/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val="en-US" w:eastAsia="zh-CN"/>
        </w:rPr>
        <w:t>项目支出1711.56万元，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</w:rPr>
        <w:t>按功能科目分类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eastAsia="zh-CN"/>
        </w:rPr>
        <w:t>：城乡社区支出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val="en-US" w:eastAsia="zh-CN"/>
        </w:rPr>
        <w:t>734.56万元，用于基础设施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eastAsia="zh-CN"/>
        </w:rPr>
        <w:t>建设，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</w:rPr>
        <w:t>资源勘探信息等支出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val="en-US" w:eastAsia="zh-CN"/>
        </w:rPr>
        <w:t>977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eastAsia="zh-CN"/>
        </w:rPr>
        <w:t>，为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val="en-US" w:eastAsia="zh-CN"/>
        </w:rPr>
        <w:t>135项目标准厂房补助</w:t>
      </w:r>
      <w:r>
        <w:rPr>
          <w:rFonts w:hint="eastAsia" w:ascii="仿宋" w:hAnsi="仿宋" w:eastAsia="仿宋" w:cs="仿宋"/>
          <w:b w:val="0"/>
          <w:i w:val="0"/>
          <w:caps w:val="0"/>
          <w:color w:val="383838"/>
          <w:spacing w:val="0"/>
          <w:sz w:val="28"/>
          <w:szCs w:val="28"/>
          <w:shd w:val="clear" w:color="auto" w:fill="F6F6F6"/>
          <w:lang w:eastAsia="zh-CN"/>
        </w:rPr>
        <w:t>。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</w:t>
      </w:r>
      <w:r>
        <w:rPr>
          <w:rFonts w:hint="eastAsia" w:ascii="宋体" w:hAnsi="宋体"/>
          <w:b/>
          <w:sz w:val="28"/>
          <w:szCs w:val="28"/>
          <w:lang w:eastAsia="zh-CN"/>
        </w:rPr>
        <w:t>部门</w:t>
      </w:r>
      <w:r>
        <w:rPr>
          <w:rFonts w:hint="eastAsia" w:ascii="宋体" w:hAnsi="宋体"/>
          <w:b/>
          <w:sz w:val="28"/>
          <w:szCs w:val="28"/>
        </w:rPr>
        <w:t>绩效目标：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目标1：招商引资入开发区工业园，推进经济发展，促进劳动就业                                                             目标2：加快推进开发区工业园区内基础建设                                                        目标3：搞好征地拆迁等工作、维护社会稳定                                 目标4: 确保机关正常高效运行  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（三）</w:t>
      </w:r>
      <w:r>
        <w:rPr>
          <w:rFonts w:hint="eastAsia" w:ascii="宋体" w:hAnsi="宋体"/>
          <w:b/>
          <w:sz w:val="28"/>
          <w:szCs w:val="28"/>
          <w:lang w:eastAsia="zh-CN"/>
        </w:rPr>
        <w:t>部门</w:t>
      </w:r>
      <w:r>
        <w:rPr>
          <w:rFonts w:hint="eastAsia" w:ascii="宋体" w:hAnsi="宋体"/>
          <w:b/>
          <w:sz w:val="28"/>
          <w:szCs w:val="28"/>
        </w:rPr>
        <w:t>实施情况分析指标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指标1：园区内成功引进香港泛亚绿洲有限公司、上海德邦牧业有限公司、湘南纺织地项目等。进行标准厂房建设，拔入标准化厂房专项奖补资金977万元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,拔到企业761万元，上缴财政216万元。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指标2：拔入资金734.56万元 进行甚础设施建设，征地拆迁等工作。                                     指标3： 拔入机关干部基本工资、绩效工资及运转经费296.46万元，保证机关正常有序运行     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  <w:lang w:eastAsia="zh-CN"/>
        </w:rPr>
        <w:t>部门</w:t>
      </w:r>
      <w:r>
        <w:rPr>
          <w:rFonts w:hint="eastAsia" w:ascii="宋体" w:hAnsi="宋体"/>
          <w:b/>
          <w:sz w:val="28"/>
          <w:szCs w:val="28"/>
        </w:rPr>
        <w:t>绩效评价工作情况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我单位严格遵守中央及省委的指示精神，认真执行市财政局等部门的文件要求，加强项目资金的监管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三、部门要绩效及评价结论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1：成功引进各类企业入园区，增加就业岗位，促进当地经济发展。                                         2：进行园区内“三通一平”基础设施建设，为企业和群众创造舒适的工作、生活环境 。                                  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3： 解决征地拆迁安置户的相关问题，为社会稳定作出贡献。                                        4：机关正常有序运行，建设一支廉洁高效的公务员队伍。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综上所述，自评95分。</w:t>
      </w:r>
    </w:p>
    <w:p>
      <w:pPr>
        <w:spacing w:line="50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四、存在的问题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一是项目资金监管管理办法有待进一步完善。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二是加强招商引资力度，促进经济发展。</w:t>
      </w:r>
    </w:p>
    <w:p>
      <w:pPr>
        <w:spacing w:line="50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五、有关建议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今后，我单位将建立预算支出绩效评价长效机制，加强资金管理，竭力推进预算支出绩效管理工作更上一层楼！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</w:pPr>
    </w:p>
    <w:p>
      <w:pP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0276993">
    <w:nsid w:val="5A04FF81"/>
    <w:multiLevelType w:val="singleLevel"/>
    <w:tmpl w:val="5A04FF81"/>
    <w:lvl w:ilvl="0" w:tentative="1">
      <w:start w:val="3"/>
      <w:numFmt w:val="decimal"/>
      <w:suff w:val="nothing"/>
      <w:lvlText w:val="%1、"/>
      <w:lvlJc w:val="left"/>
    </w:lvl>
  </w:abstractNum>
  <w:num w:numId="1">
    <w:abstractNumId w:val="15102769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168"/>
    <w:rsid w:val="000B1C91"/>
    <w:rsid w:val="00177168"/>
    <w:rsid w:val="00315C90"/>
    <w:rsid w:val="00571A08"/>
    <w:rsid w:val="006E01DE"/>
    <w:rsid w:val="00792954"/>
    <w:rsid w:val="007E626C"/>
    <w:rsid w:val="007E7694"/>
    <w:rsid w:val="00842EF3"/>
    <w:rsid w:val="00CD69F5"/>
    <w:rsid w:val="00EA331F"/>
    <w:rsid w:val="00F825D4"/>
    <w:rsid w:val="1FD24341"/>
    <w:rsid w:val="2B4753F0"/>
    <w:rsid w:val="2F261B48"/>
    <w:rsid w:val="38C735B6"/>
    <w:rsid w:val="3CE00DEC"/>
    <w:rsid w:val="3D494F99"/>
    <w:rsid w:val="58B73F6B"/>
    <w:rsid w:val="58C95818"/>
    <w:rsid w:val="61F424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1192</Characters>
  <Lines>9</Lines>
  <Paragraphs>2</Paragraphs>
  <ScaleCrop>false</ScaleCrop>
  <LinksUpToDate>false</LinksUpToDate>
  <CharactersWithSpaces>1399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2017-11-09T11:10:00Z</dcterms:created>
  <dc:creator>ok</dc:creator>
  <cp:lastModifiedBy>Administrator</cp:lastModifiedBy>
  <cp:lastPrinted>2018-06-20T08:48:52Z</cp:lastPrinted>
  <dcterms:modified xsi:type="dcterms:W3CDTF">2018-06-20T08:49:30Z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