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2018年部门整体支出绩效评价指标表</w:t>
      </w:r>
    </w:p>
    <w:tbl>
      <w:tblPr>
        <w:tblStyle w:val="5"/>
        <w:tblpPr w:leftFromText="180" w:rightFromText="180" w:vertAnchor="text" w:horzAnchor="page" w:tblpX="1772" w:tblpY="398"/>
        <w:tblOverlap w:val="never"/>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210"/>
        <w:gridCol w:w="1884"/>
        <w:gridCol w:w="735"/>
        <w:gridCol w:w="4530"/>
        <w:gridCol w:w="356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2"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一级指标</w:t>
            </w:r>
          </w:p>
        </w:tc>
        <w:tc>
          <w:tcPr>
            <w:tcW w:w="121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二级指标</w:t>
            </w:r>
          </w:p>
        </w:tc>
        <w:tc>
          <w:tcPr>
            <w:tcW w:w="1884"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三级指标</w:t>
            </w:r>
          </w:p>
        </w:tc>
        <w:tc>
          <w:tcPr>
            <w:tcW w:w="735"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分值</w:t>
            </w:r>
          </w:p>
        </w:tc>
        <w:tc>
          <w:tcPr>
            <w:tcW w:w="453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评价标准</w:t>
            </w:r>
          </w:p>
        </w:tc>
        <w:tc>
          <w:tcPr>
            <w:tcW w:w="3565"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指标说明</w:t>
            </w:r>
          </w:p>
        </w:tc>
        <w:tc>
          <w:tcPr>
            <w:tcW w:w="638"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投入</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预算配置</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在职人员控制率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tcPr>
          <w:p>
            <w:pPr>
              <w:jc w:val="both"/>
              <w:rPr>
                <w:rFonts w:hint="eastAsia"/>
                <w:sz w:val="18"/>
                <w:szCs w:val="18"/>
                <w:vertAlign w:val="baseline"/>
                <w:lang w:eastAsia="zh-CN"/>
              </w:rPr>
            </w:pPr>
            <w:r>
              <w:rPr>
                <w:rFonts w:hint="eastAsia"/>
                <w:sz w:val="18"/>
                <w:szCs w:val="18"/>
                <w:vertAlign w:val="baseline"/>
                <w:lang w:eastAsia="zh-CN"/>
              </w:rPr>
              <w:t>以</w:t>
            </w:r>
            <w:r>
              <w:rPr>
                <w:rFonts w:hint="eastAsia"/>
                <w:sz w:val="18"/>
                <w:szCs w:val="18"/>
                <w:vertAlign w:val="baseline"/>
                <w:lang w:val="en-US" w:eastAsia="zh-CN"/>
              </w:rPr>
              <w:t>100%为标准，在职人员控制</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100%计5分，每超过一个百分点扣0.5分，扣完为止。</w:t>
            </w:r>
          </w:p>
        </w:tc>
        <w:tc>
          <w:tcPr>
            <w:tcW w:w="3565" w:type="dxa"/>
          </w:tcPr>
          <w:p>
            <w:pPr>
              <w:jc w:val="both"/>
              <w:rPr>
                <w:rFonts w:hint="default"/>
                <w:sz w:val="18"/>
                <w:szCs w:val="18"/>
                <w:vertAlign w:val="baseline"/>
                <w:lang w:val="en-US" w:eastAsia="zh-CN"/>
              </w:rPr>
            </w:pPr>
            <w:r>
              <w:rPr>
                <w:rFonts w:hint="eastAsia"/>
                <w:sz w:val="18"/>
                <w:szCs w:val="18"/>
                <w:vertAlign w:val="baseline"/>
                <w:lang w:eastAsia="zh-CN"/>
              </w:rPr>
              <w:t>在职人员控制率</w:t>
            </w:r>
            <w:r>
              <w:rPr>
                <w:rFonts w:hint="eastAsia"/>
                <w:sz w:val="18"/>
                <w:szCs w:val="18"/>
                <w:vertAlign w:val="baseline"/>
                <w:lang w:val="en-US" w:eastAsia="zh-CN"/>
              </w:rPr>
              <w:t>=（142/104）</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100%=136.54%</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30"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100%，计6分，每超过一个百分点扣1分，扣完为止。</w:t>
            </w:r>
          </w:p>
        </w:tc>
        <w:tc>
          <w:tcPr>
            <w:tcW w:w="3565" w:type="dxa"/>
            <w:vAlign w:val="center"/>
          </w:tcPr>
          <w:p>
            <w:pPr>
              <w:jc w:val="both"/>
              <w:rPr>
                <w:rFonts w:hint="default"/>
                <w:sz w:val="18"/>
                <w:szCs w:val="18"/>
                <w:vertAlign w:val="baseline"/>
                <w:lang w:val="en-US" w:eastAsia="zh-CN"/>
              </w:rPr>
            </w:pPr>
            <w:r>
              <w:rPr>
                <w:rFonts w:hint="eastAsia"/>
                <w:sz w:val="18"/>
                <w:szCs w:val="18"/>
                <w:vertAlign w:val="baseline"/>
                <w:lang w:eastAsia="zh-CN"/>
              </w:rPr>
              <w:t>“三公经费”控制率</w:t>
            </w:r>
            <w:r>
              <w:rPr>
                <w:rFonts w:hint="eastAsia"/>
                <w:sz w:val="18"/>
                <w:szCs w:val="18"/>
                <w:vertAlign w:val="baseline"/>
                <w:lang w:val="en-US" w:eastAsia="zh-CN"/>
              </w:rPr>
              <w:t>=（3.94/13.80）</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100%=28.55%</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机构设置完成情况</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c>
          <w:tcPr>
            <w:tcW w:w="4530" w:type="dxa"/>
            <w:vAlign w:val="center"/>
          </w:tcPr>
          <w:p>
            <w:pPr>
              <w:jc w:val="both"/>
              <w:rPr>
                <w:rFonts w:hint="eastAsia"/>
                <w:sz w:val="18"/>
                <w:szCs w:val="18"/>
                <w:vertAlign w:val="baseline"/>
                <w:lang w:eastAsia="zh-CN"/>
              </w:rPr>
            </w:pPr>
            <w:r>
              <w:rPr>
                <w:rFonts w:hint="eastAsia"/>
                <w:sz w:val="18"/>
                <w:szCs w:val="18"/>
                <w:vertAlign w:val="baseline"/>
                <w:lang w:eastAsia="zh-CN"/>
              </w:rPr>
              <w:t>机构设置符合上级要求得</w:t>
            </w:r>
            <w:r>
              <w:rPr>
                <w:rFonts w:hint="eastAsia"/>
                <w:sz w:val="18"/>
                <w:szCs w:val="18"/>
                <w:vertAlign w:val="baseline"/>
                <w:lang w:val="en-US" w:eastAsia="zh-CN"/>
              </w:rPr>
              <w:t>4分，机构完成设置得3分</w:t>
            </w:r>
          </w:p>
        </w:tc>
        <w:tc>
          <w:tcPr>
            <w:tcW w:w="3565" w:type="dxa"/>
            <w:vAlign w:val="center"/>
          </w:tcPr>
          <w:p>
            <w:pPr>
              <w:jc w:val="both"/>
              <w:rPr>
                <w:rFonts w:hint="eastAsia"/>
                <w:sz w:val="18"/>
                <w:szCs w:val="18"/>
                <w:vertAlign w:val="baseline"/>
                <w:lang w:eastAsia="zh-CN"/>
              </w:rPr>
            </w:pPr>
            <w:r>
              <w:rPr>
                <w:rFonts w:hint="eastAsia"/>
                <w:sz w:val="18"/>
                <w:szCs w:val="18"/>
                <w:vertAlign w:val="baseline"/>
                <w:lang w:eastAsia="zh-CN"/>
              </w:rPr>
              <w:t>要求设</w:t>
            </w:r>
            <w:r>
              <w:rPr>
                <w:rFonts w:hint="eastAsia"/>
                <w:sz w:val="18"/>
                <w:szCs w:val="18"/>
                <w:vertAlign w:val="baseline"/>
                <w:lang w:val="en-US" w:eastAsia="zh-CN"/>
              </w:rPr>
              <w:t>9个机构，完成9个</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过程</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56分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预算执行</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20分</w:t>
            </w:r>
            <w:r>
              <w:rPr>
                <w:rFonts w:hint="eastAsia"/>
                <w:sz w:val="18"/>
                <w:szCs w:val="18"/>
                <w:vertAlign w:val="baseline"/>
                <w:lang w:eastAsia="zh-CN"/>
              </w:rPr>
              <w:t>）</w:t>
            </w: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预算完成率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100%计满分，每低于5%扣2分，扣完为止。</w:t>
            </w:r>
          </w:p>
        </w:tc>
        <w:tc>
          <w:tcPr>
            <w:tcW w:w="3565" w:type="dxa"/>
            <w:vAlign w:val="center"/>
          </w:tcPr>
          <w:p>
            <w:pPr>
              <w:jc w:val="both"/>
              <w:rPr>
                <w:rFonts w:hint="eastAsia"/>
                <w:sz w:val="18"/>
                <w:szCs w:val="18"/>
                <w:vertAlign w:val="baseline"/>
                <w:lang w:eastAsia="zh-CN"/>
              </w:rPr>
            </w:pPr>
            <w:r>
              <w:rPr>
                <w:rFonts w:hint="eastAsia"/>
                <w:sz w:val="18"/>
                <w:szCs w:val="18"/>
                <w:vertAlign w:val="baseline"/>
                <w:lang w:val="en-US" w:eastAsia="zh-CN"/>
              </w:rPr>
              <w:t>预算完成率（2,230.59/2,230.59）</w:t>
            </w:r>
            <w:r>
              <w:rPr>
                <w:rFonts w:hint="default"/>
                <w:sz w:val="18"/>
                <w:szCs w:val="18"/>
                <w:vertAlign w:val="baseline"/>
                <w:lang w:val="en-US" w:eastAsia="zh-CN"/>
              </w:rPr>
              <w:t>×100%=</w:t>
            </w:r>
            <w:r>
              <w:rPr>
                <w:rFonts w:hint="eastAsia"/>
                <w:sz w:val="18"/>
                <w:szCs w:val="18"/>
                <w:vertAlign w:val="baseline"/>
                <w:lang w:val="en-US" w:eastAsia="zh-CN"/>
              </w:rPr>
              <w:t>100</w:t>
            </w:r>
            <w:r>
              <w:rPr>
                <w:rFonts w:hint="default"/>
                <w:sz w:val="18"/>
                <w:szCs w:val="18"/>
                <w:vertAlign w:val="baseline"/>
                <w:lang w:val="en-US" w:eastAsia="zh-CN"/>
              </w:rPr>
              <w:t>%</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0计5分，0-10%计4分，10-20%计3分，20-30%计2分，大于30%不得分。</w:t>
            </w:r>
          </w:p>
        </w:tc>
        <w:tc>
          <w:tcPr>
            <w:tcW w:w="3565" w:type="dxa"/>
            <w:vAlign w:val="center"/>
          </w:tcPr>
          <w:p>
            <w:pPr>
              <w:jc w:val="both"/>
              <w:rPr>
                <w:rFonts w:hint="eastAsia"/>
                <w:sz w:val="18"/>
                <w:szCs w:val="18"/>
                <w:vertAlign w:val="baseline"/>
                <w:lang w:eastAsia="zh-CN"/>
              </w:rPr>
            </w:pPr>
            <w:r>
              <w:rPr>
                <w:rFonts w:hint="eastAsia"/>
                <w:sz w:val="18"/>
                <w:szCs w:val="18"/>
                <w:vertAlign w:val="baseline"/>
                <w:lang w:eastAsia="zh-CN"/>
              </w:rPr>
              <w:t>预算控</w:t>
            </w:r>
            <w:r>
              <w:rPr>
                <w:rFonts w:hint="eastAsia"/>
                <w:sz w:val="18"/>
                <w:szCs w:val="18"/>
                <w:vertAlign w:val="baseline"/>
                <w:lang w:val="en-US" w:eastAsia="zh-CN"/>
              </w:rPr>
              <w:t>制率（0/1,412.84）=0</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新建楼堂馆所面积控制率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100%以下（含）计满分，每超出5%扣2分，扣完为止。没有楼堂馆所项目计满分。</w:t>
            </w:r>
          </w:p>
        </w:tc>
        <w:tc>
          <w:tcPr>
            <w:tcW w:w="3565"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新建楼堂馆所投资概算控制率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vAlign w:val="center"/>
          </w:tcPr>
          <w:p>
            <w:pPr>
              <w:jc w:val="both"/>
              <w:rPr>
                <w:rFonts w:hint="eastAsia"/>
                <w:sz w:val="18"/>
                <w:szCs w:val="18"/>
                <w:vertAlign w:val="baseline"/>
                <w:lang w:eastAsia="zh-CN"/>
              </w:rPr>
            </w:pPr>
            <w:r>
              <w:rPr>
                <w:rFonts w:hint="eastAsia"/>
                <w:sz w:val="18"/>
                <w:szCs w:val="18"/>
                <w:vertAlign w:val="baseline"/>
                <w:lang w:val="en-US" w:eastAsia="zh-CN"/>
              </w:rPr>
              <w:t>100%以下（含）计满分，每超出5%扣2分，扣完为止。没有楼堂馆所项目计满分。</w:t>
            </w:r>
          </w:p>
        </w:tc>
        <w:tc>
          <w:tcPr>
            <w:tcW w:w="3565"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eastAsiaTheme="minorEastAsia"/>
                <w:sz w:val="18"/>
                <w:szCs w:val="18"/>
                <w:vertAlign w:val="baseline"/>
                <w:lang w:val="en-US" w:eastAsia="zh-CN"/>
              </w:rPr>
            </w:pPr>
            <w:r>
              <w:rPr>
                <w:rFonts w:hint="eastAsia"/>
                <w:sz w:val="18"/>
                <w:szCs w:val="18"/>
                <w:vertAlign w:val="baseline"/>
                <w:lang w:eastAsia="zh-CN"/>
              </w:rPr>
              <w:t>预算管理</w:t>
            </w:r>
            <w:r>
              <w:rPr>
                <w:rFonts w:hint="eastAsia"/>
                <w:sz w:val="18"/>
                <w:szCs w:val="18"/>
                <w:vertAlign w:val="baseline"/>
                <w:lang w:val="en-US" w:eastAsia="zh-CN"/>
              </w:rPr>
              <w:t>(36分）</w:t>
            </w: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3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565"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r>
              <w:rPr>
                <w:rFonts w:hint="eastAsia"/>
                <w:sz w:val="18"/>
                <w:szCs w:val="18"/>
                <w:vertAlign w:val="baseline"/>
                <w:lang w:val="en-US" w:eastAsia="zh-CN"/>
              </w:rPr>
              <w:t>=1,055.01/1,256.84=83.94%</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3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565"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r>
              <w:rPr>
                <w:rFonts w:hint="eastAsia"/>
                <w:sz w:val="18"/>
                <w:szCs w:val="18"/>
                <w:vertAlign w:val="baseline"/>
                <w:lang w:val="en-US" w:eastAsia="zh-CN"/>
              </w:rPr>
              <w:t>89.02/156.00=57.06%</w:t>
            </w: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政府采购执行率</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3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100%计满分，每超过（降低）5%扣2分，扣完为止。</w:t>
            </w:r>
          </w:p>
        </w:tc>
        <w:tc>
          <w:tcPr>
            <w:tcW w:w="3565"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均执行政府采购申报审批表</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管理制度健全性</w:t>
            </w:r>
          </w:p>
        </w:tc>
        <w:tc>
          <w:tcPr>
            <w:tcW w:w="735" w:type="dxa"/>
            <w:vAlign w:val="center"/>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8</w:t>
            </w:r>
          </w:p>
        </w:tc>
        <w:tc>
          <w:tcPr>
            <w:tcW w:w="4530" w:type="dxa"/>
            <w:vAlign w:val="center"/>
          </w:tcPr>
          <w:p>
            <w:pPr>
              <w:jc w:val="both"/>
              <w:rPr>
                <w:rFonts w:hint="eastAsia" w:asciiTheme="minorEastAsia" w:hAnsiTheme="minorEastAsia" w:cstheme="minor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有内部财务管理制度、会计核算制度等管理制度，2分</w:t>
            </w:r>
            <w:r>
              <w:rPr>
                <w:rFonts w:hint="default" w:ascii="Calibri" w:hAnsi="Calibri" w:cs="Calibri"/>
                <w:sz w:val="18"/>
                <w:szCs w:val="18"/>
                <w:vertAlign w:val="baseline"/>
                <w:lang w:val="en-US" w:eastAsia="zh-CN"/>
              </w:rPr>
              <w:t>②</w:t>
            </w:r>
            <w:r>
              <w:rPr>
                <w:rFonts w:hint="eastAsia" w:asciiTheme="minorEastAsia" w:hAnsiTheme="minorEastAsia" w:cstheme="minorEastAsia"/>
                <w:sz w:val="18"/>
                <w:szCs w:val="18"/>
                <w:vertAlign w:val="baseline"/>
                <w:lang w:val="en-US" w:eastAsia="zh-CN"/>
              </w:rPr>
              <w:t>有本部门厉行节约制度，2分</w:t>
            </w:r>
            <w:r>
              <w:rPr>
                <w:rFonts w:hint="default" w:ascii="Calibri" w:hAnsi="Calibri" w:cs="Calibri"/>
                <w:sz w:val="18"/>
                <w:szCs w:val="18"/>
                <w:vertAlign w:val="baseline"/>
                <w:lang w:val="en-US" w:eastAsia="zh-CN"/>
              </w:rPr>
              <w:t>③</w:t>
            </w:r>
            <w:r>
              <w:rPr>
                <w:rFonts w:hint="eastAsia" w:asciiTheme="minorEastAsia" w:hAnsiTheme="minorEastAsia" w:cstheme="minorEastAsia"/>
                <w:sz w:val="18"/>
                <w:szCs w:val="18"/>
                <w:vertAlign w:val="baseline"/>
                <w:lang w:val="en-US" w:eastAsia="zh-CN"/>
              </w:rPr>
              <w:t>相关管理制度合法、合规、完整，2分</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相关管理制度得到有效执行，2分</w:t>
            </w:r>
          </w:p>
        </w:tc>
        <w:tc>
          <w:tcPr>
            <w:tcW w:w="3565" w:type="dxa"/>
            <w:vAlign w:val="center"/>
          </w:tcPr>
          <w:p>
            <w:pPr>
              <w:jc w:val="both"/>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有财务管理、厉行节约等管理制度，但相关管理制度未完全执行。</w:t>
            </w:r>
          </w:p>
          <w:p>
            <w:pPr>
              <w:jc w:val="both"/>
              <w:rPr>
                <w:rFonts w:hint="eastAsia"/>
                <w:sz w:val="18"/>
                <w:szCs w:val="18"/>
                <w:vertAlign w:val="baseline"/>
                <w:lang w:eastAsia="zh-CN"/>
              </w:rPr>
            </w:pP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资金使用合规性</w:t>
            </w:r>
          </w:p>
        </w:tc>
        <w:tc>
          <w:tcPr>
            <w:tcW w:w="73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tcPr>
          <w:p>
            <w:pPr>
              <w:jc w:val="both"/>
              <w:rPr>
                <w:rFonts w:hint="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支出符合国家财政法规和财务管理制度规定以及有关专项资金管理办法的规定。</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2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②</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资金拨付有完整的审批程序和手续。</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3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③</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项目支出按规定经过评估论证。</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支出符合部门预算批复的用途。</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5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⑤</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资金使用无截留、挤占、挪用、虚列支出等情况。以上情况每出现一例不符合要求的扣1分，扣完为止。</w:t>
            </w:r>
          </w:p>
        </w:tc>
        <w:tc>
          <w:tcPr>
            <w:tcW w:w="3565" w:type="dxa"/>
          </w:tcPr>
          <w:p>
            <w:pPr>
              <w:jc w:val="both"/>
              <w:rPr>
                <w:rFonts w:hint="default"/>
                <w:sz w:val="18"/>
                <w:szCs w:val="18"/>
                <w:vertAlign w:val="baseline"/>
                <w:lang w:val="en-US" w:eastAsia="zh-CN"/>
              </w:rPr>
            </w:pPr>
            <w:r>
              <w:rPr>
                <w:rFonts w:hint="eastAsia" w:asciiTheme="minorEastAsia" w:hAnsiTheme="minorEastAsia" w:cstheme="minorEastAsia"/>
                <w:sz w:val="18"/>
                <w:szCs w:val="18"/>
                <w:vertAlign w:val="baseline"/>
                <w:lang w:val="en-US" w:eastAsia="zh-CN"/>
              </w:rPr>
              <w:t>存在未按项目核算，下拨资金监管不力；有8笔费用列支存在手续不全、不合规。</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1884"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预决算信息公开性</w:t>
            </w:r>
          </w:p>
        </w:tc>
        <w:tc>
          <w:tcPr>
            <w:tcW w:w="73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tcPr>
          <w:p>
            <w:pPr>
              <w:jc w:val="both"/>
              <w:rPr>
                <w:rFonts w:hint="eastAsia"/>
                <w:sz w:val="18"/>
                <w:szCs w:val="18"/>
                <w:vertAlign w:val="baseline"/>
                <w:lang w:val="en-US" w:eastAsia="zh-CN"/>
              </w:rPr>
            </w:pP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1 \* GB3 \* MERGEFORMAT </w:instrText>
            </w:r>
            <w:r>
              <w:rPr>
                <w:rFonts w:hint="eastAsia"/>
                <w:sz w:val="18"/>
                <w:szCs w:val="18"/>
                <w:vertAlign w:val="baseline"/>
                <w:lang w:val="en-US" w:eastAsia="zh-CN"/>
              </w:rPr>
              <w:fldChar w:fldCharType="separate"/>
            </w:r>
            <w:r>
              <w:rPr>
                <w:sz w:val="18"/>
                <w:szCs w:val="18"/>
              </w:rPr>
              <w:t>①</w:t>
            </w:r>
            <w:r>
              <w:rPr>
                <w:rFonts w:hint="eastAsia"/>
                <w:sz w:val="18"/>
                <w:szCs w:val="18"/>
                <w:vertAlign w:val="baseline"/>
                <w:lang w:val="en-US" w:eastAsia="zh-CN"/>
              </w:rPr>
              <w:fldChar w:fldCharType="end"/>
            </w:r>
            <w:r>
              <w:rPr>
                <w:rFonts w:hint="eastAsia"/>
                <w:sz w:val="18"/>
                <w:szCs w:val="18"/>
                <w:vertAlign w:val="baseline"/>
                <w:lang w:val="en-US" w:eastAsia="zh-CN"/>
              </w:rPr>
              <w:t>按规定内容公开预决算信息，1分。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2 \* GB3 \* MERGEFORMAT </w:instrText>
            </w:r>
            <w:r>
              <w:rPr>
                <w:rFonts w:hint="eastAsia"/>
                <w:sz w:val="18"/>
                <w:szCs w:val="18"/>
                <w:vertAlign w:val="baseline"/>
                <w:lang w:val="en-US" w:eastAsia="zh-CN"/>
              </w:rPr>
              <w:fldChar w:fldCharType="separate"/>
            </w:r>
            <w:r>
              <w:rPr>
                <w:sz w:val="18"/>
                <w:szCs w:val="18"/>
              </w:rPr>
              <w:t>②</w:t>
            </w:r>
            <w:r>
              <w:rPr>
                <w:rFonts w:hint="eastAsia"/>
                <w:sz w:val="18"/>
                <w:szCs w:val="18"/>
                <w:vertAlign w:val="baseline"/>
                <w:lang w:val="en-US" w:eastAsia="zh-CN"/>
              </w:rPr>
              <w:fldChar w:fldCharType="end"/>
            </w:r>
            <w:r>
              <w:rPr>
                <w:rFonts w:hint="eastAsia"/>
                <w:sz w:val="18"/>
                <w:szCs w:val="18"/>
                <w:vertAlign w:val="baseline"/>
                <w:lang w:val="en-US" w:eastAsia="zh-CN"/>
              </w:rPr>
              <w:t>按规定时限公开预决算信息，1分。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3 \* GB3 \* MERGEFORMAT </w:instrText>
            </w:r>
            <w:r>
              <w:rPr>
                <w:rFonts w:hint="eastAsia"/>
                <w:sz w:val="18"/>
                <w:szCs w:val="18"/>
                <w:vertAlign w:val="baseline"/>
                <w:lang w:val="en-US" w:eastAsia="zh-CN"/>
              </w:rPr>
              <w:fldChar w:fldCharType="separate"/>
            </w:r>
            <w:r>
              <w:rPr>
                <w:sz w:val="18"/>
                <w:szCs w:val="18"/>
              </w:rPr>
              <w:t>③</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基础数据信息和会计信息资料真实，1分。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4 \* GB3 \* MERGEFORMAT </w:instrText>
            </w:r>
            <w:r>
              <w:rPr>
                <w:rFonts w:hint="eastAsia"/>
                <w:sz w:val="18"/>
                <w:szCs w:val="18"/>
                <w:vertAlign w:val="baseline"/>
                <w:lang w:val="en-US" w:eastAsia="zh-CN"/>
              </w:rPr>
              <w:fldChar w:fldCharType="separate"/>
            </w:r>
            <w:r>
              <w:rPr>
                <w:sz w:val="18"/>
                <w:szCs w:val="18"/>
              </w:rPr>
              <w:t>④</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基础数据信息和会计信息资料完整，1分。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5 \* GB3 \* MERGEFORMAT </w:instrText>
            </w:r>
            <w:r>
              <w:rPr>
                <w:rFonts w:hint="eastAsia"/>
                <w:sz w:val="18"/>
                <w:szCs w:val="18"/>
                <w:vertAlign w:val="baseline"/>
                <w:lang w:val="en-US" w:eastAsia="zh-CN"/>
              </w:rPr>
              <w:fldChar w:fldCharType="separate"/>
            </w:r>
            <w:r>
              <w:rPr>
                <w:sz w:val="18"/>
                <w:szCs w:val="18"/>
              </w:rPr>
              <w:t>⑤</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基础数据信息和汇集信息资料准确，1分。</w:t>
            </w:r>
          </w:p>
        </w:tc>
        <w:tc>
          <w:tcPr>
            <w:tcW w:w="3565" w:type="dxa"/>
          </w:tcPr>
          <w:p>
            <w:pPr>
              <w:jc w:val="both"/>
              <w:rPr>
                <w:rFonts w:hint="default"/>
                <w:sz w:val="18"/>
                <w:szCs w:val="18"/>
                <w:vertAlign w:val="baseline"/>
                <w:lang w:val="en-US" w:eastAsia="zh-CN"/>
              </w:rPr>
            </w:pPr>
            <w:r>
              <w:rPr>
                <w:rFonts w:hint="eastAsia"/>
                <w:sz w:val="18"/>
                <w:szCs w:val="18"/>
                <w:vertAlign w:val="baseline"/>
                <w:lang w:val="en-US" w:eastAsia="zh-CN"/>
              </w:rPr>
              <w:t>预算、</w:t>
            </w:r>
            <w:r>
              <w:rPr>
                <w:rFonts w:hint="eastAsia" w:asciiTheme="minorEastAsia" w:hAnsiTheme="minorEastAsia" w:cstheme="minorEastAsia"/>
                <w:sz w:val="18"/>
                <w:szCs w:val="18"/>
                <w:vertAlign w:val="baseline"/>
                <w:lang w:val="en-US" w:eastAsia="zh-CN"/>
              </w:rPr>
              <w:t>决算均已在常宁市</w:t>
            </w:r>
            <w:r>
              <w:rPr>
                <w:rFonts w:hint="default" w:asciiTheme="minorEastAsia" w:hAnsiTheme="minorEastAsia" w:cstheme="minorEastAsia"/>
                <w:sz w:val="18"/>
                <w:szCs w:val="18"/>
                <w:vertAlign w:val="baseline"/>
                <w:lang w:val="en-US" w:eastAsia="zh-CN"/>
              </w:rPr>
              <w:t>党政门户网站</w:t>
            </w:r>
            <w:r>
              <w:rPr>
                <w:rFonts w:hint="eastAsia" w:asciiTheme="minorEastAsia" w:hAnsiTheme="minorEastAsia" w:cstheme="minorEastAsia"/>
                <w:sz w:val="18"/>
                <w:szCs w:val="18"/>
                <w:vertAlign w:val="baseline"/>
                <w:lang w:val="en-US" w:eastAsia="zh-CN"/>
              </w:rPr>
              <w:t>分开。</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产出及效率</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26分</w:t>
            </w:r>
            <w:r>
              <w:rPr>
                <w:rFonts w:hint="eastAsia"/>
                <w:sz w:val="18"/>
                <w:szCs w:val="18"/>
                <w:vertAlign w:val="baseline"/>
                <w:lang w:eastAsia="zh-CN"/>
              </w:rPr>
              <w:t>）</w:t>
            </w:r>
          </w:p>
        </w:tc>
        <w:tc>
          <w:tcPr>
            <w:tcW w:w="121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职责履行</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（6分）</w:t>
            </w:r>
          </w:p>
        </w:tc>
        <w:tc>
          <w:tcPr>
            <w:tcW w:w="1884" w:type="dxa"/>
          </w:tcPr>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重点工作实际完成率</w:t>
            </w:r>
          </w:p>
        </w:tc>
        <w:tc>
          <w:tcPr>
            <w:tcW w:w="73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30" w:type="dxa"/>
          </w:tcPr>
          <w:p>
            <w:pPr>
              <w:jc w:val="both"/>
              <w:rPr>
                <w:rFonts w:hint="eastAsia"/>
                <w:sz w:val="18"/>
                <w:szCs w:val="18"/>
                <w:vertAlign w:val="baseline"/>
                <w:lang w:val="en-US" w:eastAsia="zh-CN"/>
              </w:rPr>
            </w:pPr>
            <w:r>
              <w:rPr>
                <w:rFonts w:hint="eastAsia"/>
                <w:sz w:val="18"/>
                <w:szCs w:val="18"/>
                <w:vertAlign w:val="baseline"/>
                <w:lang w:val="en-US" w:eastAsia="zh-CN"/>
              </w:rPr>
              <w:t>根据2018年部门重点工程与重点工作完成情况打分。该项得分=（实际重点工程量与重点工作完成量与完成数）得满分。</w:t>
            </w:r>
          </w:p>
        </w:tc>
        <w:tc>
          <w:tcPr>
            <w:tcW w:w="3565" w:type="dxa"/>
          </w:tcPr>
          <w:p>
            <w:pPr>
              <w:jc w:val="both"/>
              <w:rPr>
                <w:rFonts w:hint="eastAsia"/>
                <w:sz w:val="18"/>
                <w:szCs w:val="18"/>
                <w:vertAlign w:val="baseline"/>
                <w:lang w:val="en-US" w:eastAsia="zh-CN"/>
              </w:rPr>
            </w:pPr>
            <w:r>
              <w:rPr>
                <w:rFonts w:hint="eastAsia"/>
                <w:sz w:val="18"/>
                <w:szCs w:val="18"/>
                <w:vertAlign w:val="baseline"/>
                <w:lang w:val="en-US" w:eastAsia="zh-CN"/>
              </w:rPr>
              <w:t>基本完成了各项工作目标和任务。</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Align w:val="center"/>
          </w:tcPr>
          <w:p>
            <w:pPr>
              <w:jc w:val="center"/>
              <w:rPr>
                <w:rFonts w:hint="eastAsia"/>
                <w:sz w:val="18"/>
                <w:szCs w:val="18"/>
                <w:vertAlign w:val="baseline"/>
                <w:lang w:eastAsia="zh-CN"/>
              </w:rPr>
            </w:pPr>
            <w:r>
              <w:rPr>
                <w:rFonts w:hint="eastAsia"/>
                <w:sz w:val="18"/>
                <w:szCs w:val="18"/>
                <w:vertAlign w:val="baseline"/>
                <w:lang w:eastAsia="zh-CN"/>
              </w:rPr>
              <w:t>履行效益（</w:t>
            </w:r>
            <w:r>
              <w:rPr>
                <w:rFonts w:hint="eastAsia"/>
                <w:sz w:val="18"/>
                <w:szCs w:val="18"/>
                <w:vertAlign w:val="baseline"/>
                <w:lang w:val="en-US" w:eastAsia="zh-CN"/>
              </w:rPr>
              <w:t>20分</w:t>
            </w:r>
            <w:r>
              <w:rPr>
                <w:rFonts w:hint="eastAsia"/>
                <w:sz w:val="18"/>
                <w:szCs w:val="18"/>
                <w:vertAlign w:val="baseline"/>
                <w:lang w:eastAsia="zh-CN"/>
              </w:rPr>
              <w:t>）</w:t>
            </w: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经济效益</w:t>
            </w:r>
          </w:p>
        </w:tc>
        <w:tc>
          <w:tcPr>
            <w:tcW w:w="73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tcPr>
          <w:p>
            <w:pPr>
              <w:jc w:val="both"/>
              <w:rPr>
                <w:rFonts w:hint="eastAsia"/>
                <w:sz w:val="18"/>
                <w:szCs w:val="18"/>
                <w:vertAlign w:val="baseline"/>
                <w:lang w:val="en-US" w:eastAsia="zh-CN"/>
              </w:rPr>
            </w:pPr>
            <w:r>
              <w:rPr>
                <w:rFonts w:hint="eastAsia"/>
                <w:sz w:val="18"/>
                <w:szCs w:val="18"/>
                <w:vertAlign w:val="baseline"/>
                <w:lang w:val="en-US" w:eastAsia="zh-CN"/>
              </w:rPr>
              <w:t>通过投入是否能带动企业的安全生产投入，通过执政执法减少安全隐患，达到本市的安全生产事故减少，相应为政企安全生产事故的支出减少。</w:t>
            </w:r>
          </w:p>
        </w:tc>
        <w:tc>
          <w:tcPr>
            <w:tcW w:w="3565" w:type="dxa"/>
          </w:tcPr>
          <w:p>
            <w:pPr>
              <w:numPr>
                <w:ilvl w:val="0"/>
                <w:numId w:val="0"/>
              </w:numPr>
              <w:jc w:val="both"/>
              <w:rPr>
                <w:rFonts w:hint="default"/>
                <w:sz w:val="18"/>
                <w:szCs w:val="18"/>
                <w:vertAlign w:val="baseline"/>
                <w:lang w:val="en-US" w:eastAsia="zh-CN"/>
              </w:rPr>
            </w:pPr>
            <w:r>
              <w:rPr>
                <w:rFonts w:hint="eastAsia"/>
                <w:color w:val="auto"/>
                <w:sz w:val="18"/>
                <w:szCs w:val="18"/>
                <w:highlight w:val="none"/>
                <w:vertAlign w:val="baseline"/>
                <w:lang w:val="en-US" w:eastAsia="zh-CN"/>
              </w:rPr>
              <w:t>通过</w:t>
            </w:r>
            <w:r>
              <w:rPr>
                <w:rFonts w:hint="eastAsia"/>
                <w:sz w:val="18"/>
                <w:szCs w:val="18"/>
                <w:vertAlign w:val="baseline"/>
                <w:lang w:val="en-US" w:eastAsia="zh-CN"/>
              </w:rPr>
              <w:t>投入带动了企业的安全生产投入，特别是8家烟花爆竹厂关停的退出、非法烟花爆竹储存点和零售点、危险化学品、非法采砂的查处，有效预防和遏制事故发生</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continue"/>
          </w:tcPr>
          <w:p>
            <w:pPr>
              <w:jc w:val="center"/>
              <w:rPr>
                <w:rFonts w:hint="eastAsia"/>
                <w:sz w:val="18"/>
                <w:szCs w:val="18"/>
                <w:vertAlign w:val="baseline"/>
                <w:lang w:eastAsia="zh-CN"/>
              </w:rPr>
            </w:pPr>
          </w:p>
        </w:tc>
        <w:tc>
          <w:tcPr>
            <w:tcW w:w="1210" w:type="dxa"/>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社会效益</w:t>
            </w:r>
          </w:p>
        </w:tc>
        <w:tc>
          <w:tcPr>
            <w:tcW w:w="73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tcPr>
          <w:p>
            <w:pPr>
              <w:jc w:val="both"/>
              <w:rPr>
                <w:rFonts w:hint="eastAsia"/>
                <w:color w:val="auto"/>
                <w:sz w:val="18"/>
                <w:szCs w:val="18"/>
                <w:highlight w:val="none"/>
                <w:vertAlign w:val="baseline"/>
                <w:lang w:val="en-US" w:eastAsia="zh-CN"/>
              </w:rPr>
            </w:pPr>
            <w:r>
              <w:rPr>
                <w:rFonts w:hint="eastAsia"/>
                <w:sz w:val="18"/>
                <w:szCs w:val="18"/>
                <w:vertAlign w:val="baseline"/>
                <w:lang w:val="en-US" w:eastAsia="zh-CN"/>
              </w:rPr>
              <w:t>通过投入是否能达到本市的安全生产事故同比下降，政企及人民的安全意识提高。</w:t>
            </w:r>
          </w:p>
        </w:tc>
        <w:tc>
          <w:tcPr>
            <w:tcW w:w="3565" w:type="dxa"/>
          </w:tcPr>
          <w:p>
            <w:pPr>
              <w:jc w:val="both"/>
              <w:rPr>
                <w:rFonts w:hint="default" w:eastAsia="仿宋"/>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w:t>
            </w:r>
            <w:r>
              <w:rPr>
                <w:rFonts w:hint="eastAsia"/>
                <w:sz w:val="18"/>
                <w:szCs w:val="18"/>
                <w:vertAlign w:val="baseline"/>
                <w:lang w:val="en-US" w:eastAsia="zh-CN"/>
              </w:rPr>
              <w:t>投入，2018年全市共发生安全生产事故3起，其中死亡3人，同比事故起数、死亡人数分别下降62.5%、66.7%，无新增职业病发生，实现了“三下降一杜绝”的工作目标。</w:t>
            </w:r>
          </w:p>
        </w:tc>
        <w:tc>
          <w:tcPr>
            <w:tcW w:w="638" w:type="dxa"/>
          </w:tcPr>
          <w:p>
            <w:pPr>
              <w:jc w:val="center"/>
              <w:rPr>
                <w:rFonts w:hint="eastAsia"/>
                <w:color w:val="auto"/>
                <w:sz w:val="18"/>
                <w:szCs w:val="18"/>
                <w:highlight w:val="none"/>
                <w:vertAlign w:val="baseline"/>
                <w:lang w:val="en-US" w:eastAsia="zh-CN"/>
              </w:rPr>
            </w:pPr>
          </w:p>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行政效能</w:t>
            </w:r>
          </w:p>
        </w:tc>
        <w:tc>
          <w:tcPr>
            <w:tcW w:w="73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通过经费的投入是否使镇各职能部门的服务更加科学、规范、有效，完善行政职能配置，正常运转，得5分。</w:t>
            </w:r>
          </w:p>
        </w:tc>
        <w:tc>
          <w:tcPr>
            <w:tcW w:w="3565"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本年全局行政运行平稳，各项工作职能有序开展，完成各项指标，党风政风持续好转。</w:t>
            </w:r>
          </w:p>
        </w:tc>
        <w:tc>
          <w:tcPr>
            <w:tcW w:w="638" w:type="dxa"/>
            <w:vAlign w:val="center"/>
          </w:tcPr>
          <w:p>
            <w:pPr>
              <w:jc w:val="center"/>
              <w:rPr>
                <w:rFonts w:hint="eastAsia"/>
                <w:color w:val="auto"/>
                <w:sz w:val="18"/>
                <w:szCs w:val="18"/>
                <w:highlight w:val="none"/>
                <w:vertAlign w:val="baseline"/>
                <w:lang w:val="en-US" w:eastAsia="zh-CN"/>
              </w:rPr>
            </w:pPr>
          </w:p>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2" w:type="dxa"/>
            <w:vMerge w:val="continue"/>
          </w:tcPr>
          <w:p>
            <w:pPr>
              <w:jc w:val="center"/>
              <w:rPr>
                <w:rFonts w:hint="eastAsia"/>
                <w:sz w:val="18"/>
                <w:szCs w:val="18"/>
                <w:vertAlign w:val="baseline"/>
                <w:lang w:eastAsia="zh-CN"/>
              </w:rPr>
            </w:pPr>
          </w:p>
        </w:tc>
        <w:tc>
          <w:tcPr>
            <w:tcW w:w="1210" w:type="dxa"/>
          </w:tcPr>
          <w:p>
            <w:pPr>
              <w:jc w:val="center"/>
              <w:rPr>
                <w:rFonts w:hint="eastAsia"/>
                <w:sz w:val="18"/>
                <w:szCs w:val="18"/>
                <w:vertAlign w:val="baseline"/>
                <w:lang w:eastAsia="zh-CN"/>
              </w:rPr>
            </w:pPr>
          </w:p>
        </w:tc>
        <w:tc>
          <w:tcPr>
            <w:tcW w:w="1884" w:type="dxa"/>
            <w:vAlign w:val="center"/>
          </w:tcPr>
          <w:p>
            <w:pPr>
              <w:jc w:val="both"/>
              <w:rPr>
                <w:rFonts w:hint="eastAsia"/>
                <w:sz w:val="18"/>
                <w:szCs w:val="18"/>
                <w:vertAlign w:val="baseline"/>
                <w:lang w:eastAsia="zh-CN"/>
              </w:rPr>
            </w:pPr>
            <w:r>
              <w:rPr>
                <w:rFonts w:hint="eastAsia"/>
                <w:sz w:val="18"/>
                <w:szCs w:val="18"/>
                <w:vertAlign w:val="baseline"/>
                <w:lang w:eastAsia="zh-CN"/>
              </w:rPr>
              <w:t>社会公众或服务对象满意度</w:t>
            </w:r>
          </w:p>
        </w:tc>
        <w:tc>
          <w:tcPr>
            <w:tcW w:w="735" w:type="dxa"/>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30"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90%（含）以上计6分，80%（含）~90%计4分，70%（含）~80%计2分，低于70%计0分。</w:t>
            </w:r>
          </w:p>
        </w:tc>
        <w:tc>
          <w:tcPr>
            <w:tcW w:w="3565"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服务对象满意度81%</w:t>
            </w:r>
          </w:p>
        </w:tc>
        <w:tc>
          <w:tcPr>
            <w:tcW w:w="638" w:type="dxa"/>
            <w:vAlign w:val="top"/>
          </w:tcPr>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2" w:type="dxa"/>
          </w:tcPr>
          <w:p>
            <w:pPr>
              <w:jc w:val="center"/>
              <w:rPr>
                <w:rFonts w:hint="eastAsia"/>
                <w:sz w:val="18"/>
                <w:szCs w:val="18"/>
                <w:vertAlign w:val="baseline"/>
                <w:lang w:eastAsia="zh-CN"/>
              </w:rPr>
            </w:pPr>
            <w:r>
              <w:rPr>
                <w:rFonts w:hint="eastAsia"/>
                <w:sz w:val="18"/>
                <w:szCs w:val="18"/>
                <w:vertAlign w:val="baseline"/>
                <w:lang w:eastAsia="zh-CN"/>
              </w:rPr>
              <w:t>总分</w:t>
            </w:r>
          </w:p>
        </w:tc>
        <w:tc>
          <w:tcPr>
            <w:tcW w:w="1210" w:type="dxa"/>
          </w:tcPr>
          <w:p>
            <w:pPr>
              <w:jc w:val="center"/>
              <w:rPr>
                <w:rFonts w:hint="eastAsia"/>
                <w:sz w:val="18"/>
                <w:szCs w:val="18"/>
                <w:vertAlign w:val="baseline"/>
                <w:lang w:eastAsia="zh-CN"/>
              </w:rPr>
            </w:pPr>
          </w:p>
        </w:tc>
        <w:tc>
          <w:tcPr>
            <w:tcW w:w="1884" w:type="dxa"/>
          </w:tcPr>
          <w:p>
            <w:pPr>
              <w:jc w:val="both"/>
              <w:rPr>
                <w:rFonts w:hint="eastAsia"/>
                <w:sz w:val="18"/>
                <w:szCs w:val="18"/>
                <w:vertAlign w:val="baseline"/>
                <w:lang w:eastAsia="zh-CN"/>
              </w:rPr>
            </w:pPr>
          </w:p>
        </w:tc>
        <w:tc>
          <w:tcPr>
            <w:tcW w:w="735" w:type="dxa"/>
          </w:tcPr>
          <w:p>
            <w:pPr>
              <w:jc w:val="center"/>
              <w:rPr>
                <w:rFonts w:hint="eastAsia"/>
                <w:sz w:val="18"/>
                <w:szCs w:val="18"/>
                <w:vertAlign w:val="baseline"/>
                <w:lang w:val="en-US" w:eastAsia="zh-CN"/>
              </w:rPr>
            </w:pPr>
            <w:r>
              <w:rPr>
                <w:rFonts w:hint="eastAsia"/>
                <w:sz w:val="18"/>
                <w:szCs w:val="18"/>
                <w:vertAlign w:val="baseline"/>
                <w:lang w:val="en-US" w:eastAsia="zh-CN"/>
              </w:rPr>
              <w:t>100</w:t>
            </w:r>
          </w:p>
        </w:tc>
        <w:tc>
          <w:tcPr>
            <w:tcW w:w="4530" w:type="dxa"/>
            <w:vAlign w:val="top"/>
          </w:tcPr>
          <w:p>
            <w:pPr>
              <w:jc w:val="both"/>
              <w:rPr>
                <w:rFonts w:hint="eastAsia"/>
                <w:sz w:val="18"/>
                <w:szCs w:val="18"/>
                <w:vertAlign w:val="baseline"/>
                <w:lang w:val="en-US" w:eastAsia="zh-CN"/>
              </w:rPr>
            </w:pPr>
          </w:p>
        </w:tc>
        <w:tc>
          <w:tcPr>
            <w:tcW w:w="3565" w:type="dxa"/>
            <w:vAlign w:val="top"/>
          </w:tcPr>
          <w:p>
            <w:pPr>
              <w:jc w:val="both"/>
              <w:rPr>
                <w:rFonts w:hint="eastAsia"/>
                <w:sz w:val="18"/>
                <w:szCs w:val="18"/>
                <w:vertAlign w:val="baseline"/>
                <w:lang w:val="en-US" w:eastAsia="zh-CN"/>
              </w:rPr>
            </w:pPr>
          </w:p>
        </w:tc>
        <w:tc>
          <w:tcPr>
            <w:tcW w:w="638" w:type="dxa"/>
            <w:vAlign w:val="top"/>
          </w:tcPr>
          <w:p>
            <w:pPr>
              <w:jc w:val="center"/>
              <w:rPr>
                <w:rFonts w:hint="default"/>
                <w:sz w:val="18"/>
                <w:szCs w:val="18"/>
                <w:vertAlign w:val="baseline"/>
                <w:lang w:val="en-US" w:eastAsia="zh-CN"/>
              </w:rPr>
            </w:pPr>
            <w:r>
              <w:rPr>
                <w:rFonts w:hint="eastAsia"/>
                <w:sz w:val="18"/>
                <w:szCs w:val="18"/>
                <w:vertAlign w:val="baseline"/>
                <w:lang w:val="en-US" w:eastAsia="zh-CN"/>
              </w:rPr>
              <w:t>79</w:t>
            </w:r>
          </w:p>
        </w:tc>
      </w:tr>
    </w:tbl>
    <w:p>
      <w:pPr>
        <w:jc w:val="center"/>
        <w:rPr>
          <w:rFonts w:hint="eastAsia"/>
          <w:sz w:val="18"/>
          <w:szCs w:val="18"/>
          <w:lang w:val="en-US" w:eastAsia="zh-CN"/>
        </w:rPr>
      </w:pPr>
    </w:p>
    <w:p>
      <w:pPr>
        <w:rPr>
          <w:sz w:val="18"/>
          <w:szCs w:val="18"/>
        </w:rPr>
      </w:pPr>
      <w:bookmarkStart w:id="0" w:name="_GoBack"/>
      <w:bookmarkEnd w:id="0"/>
    </w:p>
    <w:sectPr>
      <w:headerReference r:id="rId3" w:type="default"/>
      <w:footerReference r:id="rId4" w:type="default"/>
      <w:pgSz w:w="16838" w:h="11906" w:orient="landscape"/>
      <w:pgMar w:top="1440" w:right="1440" w:bottom="1440" w:left="1440" w:header="851" w:footer="992" w:gutter="0"/>
      <w:pgNumType w:start="14"/>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C5A4E"/>
    <w:rsid w:val="0100348E"/>
    <w:rsid w:val="03746123"/>
    <w:rsid w:val="0536395A"/>
    <w:rsid w:val="08F97C16"/>
    <w:rsid w:val="09F43287"/>
    <w:rsid w:val="0A771144"/>
    <w:rsid w:val="0B046653"/>
    <w:rsid w:val="0EED519E"/>
    <w:rsid w:val="15876AE8"/>
    <w:rsid w:val="190430DE"/>
    <w:rsid w:val="19C6341F"/>
    <w:rsid w:val="1A740E00"/>
    <w:rsid w:val="1B8678DF"/>
    <w:rsid w:val="1BCB6E3D"/>
    <w:rsid w:val="1EA818E0"/>
    <w:rsid w:val="1FC360D2"/>
    <w:rsid w:val="20FE292E"/>
    <w:rsid w:val="256F7066"/>
    <w:rsid w:val="26CD3B56"/>
    <w:rsid w:val="2ABB7326"/>
    <w:rsid w:val="2EBA391A"/>
    <w:rsid w:val="328636A2"/>
    <w:rsid w:val="34F82C59"/>
    <w:rsid w:val="3644590A"/>
    <w:rsid w:val="365C6EC1"/>
    <w:rsid w:val="36B34042"/>
    <w:rsid w:val="3DC9269E"/>
    <w:rsid w:val="40BE644D"/>
    <w:rsid w:val="41D17892"/>
    <w:rsid w:val="42035181"/>
    <w:rsid w:val="47762818"/>
    <w:rsid w:val="4AE255CC"/>
    <w:rsid w:val="56D23C0F"/>
    <w:rsid w:val="5F583E95"/>
    <w:rsid w:val="619C6C55"/>
    <w:rsid w:val="676C5A4E"/>
    <w:rsid w:val="69882274"/>
    <w:rsid w:val="71681581"/>
    <w:rsid w:val="754D0BC0"/>
    <w:rsid w:val="7D61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2018-01-11T10:26:00Z</dcterms:created>
  <dc:creator>Administrator</dc:creator>
  <cp:lastModifiedBy>袁会计</cp:lastModifiedBy>
  <cp:lastPrinted>2019-12-11T07:47:33Z</cp:lastPrinted>
  <dcterms:modified xsi:type="dcterms:W3CDTF">2019-12-11T07:51:52Z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