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2018年部门整体支出绩效评价指标表</w:t>
      </w:r>
    </w:p>
    <w:tbl>
      <w:tblPr>
        <w:tblStyle w:val="5"/>
        <w:tblpPr w:leftFromText="180" w:rightFromText="180" w:vertAnchor="text" w:horzAnchor="page" w:tblpX="1772" w:tblpY="398"/>
        <w:tblOverlap w:val="never"/>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210"/>
        <w:gridCol w:w="2743"/>
        <w:gridCol w:w="670"/>
        <w:gridCol w:w="4558"/>
        <w:gridCol w:w="2743"/>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92"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一级指标</w:t>
            </w:r>
          </w:p>
        </w:tc>
        <w:tc>
          <w:tcPr>
            <w:tcW w:w="121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二级指标</w:t>
            </w:r>
          </w:p>
        </w:tc>
        <w:tc>
          <w:tcPr>
            <w:tcW w:w="2743"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三级指标</w:t>
            </w:r>
          </w:p>
        </w:tc>
        <w:tc>
          <w:tcPr>
            <w:tcW w:w="67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分值</w:t>
            </w:r>
          </w:p>
        </w:tc>
        <w:tc>
          <w:tcPr>
            <w:tcW w:w="4558"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评价标准</w:t>
            </w:r>
          </w:p>
        </w:tc>
        <w:tc>
          <w:tcPr>
            <w:tcW w:w="2743"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指标说明</w:t>
            </w:r>
          </w:p>
        </w:tc>
        <w:tc>
          <w:tcPr>
            <w:tcW w:w="638"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投入</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18分</w:t>
            </w:r>
            <w:r>
              <w:rPr>
                <w:rFonts w:hint="eastAsia"/>
                <w:sz w:val="18"/>
                <w:szCs w:val="18"/>
                <w:vertAlign w:val="baseline"/>
                <w:lang w:eastAsia="zh-CN"/>
              </w:rPr>
              <w:t>）</w:t>
            </w: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预算配置</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18分</w:t>
            </w:r>
            <w:r>
              <w:rPr>
                <w:rFonts w:hint="eastAsia"/>
                <w:sz w:val="18"/>
                <w:szCs w:val="18"/>
                <w:vertAlign w:val="baseline"/>
                <w:lang w:eastAsia="zh-CN"/>
              </w:rPr>
              <w:t>）</w:t>
            </w: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在职人员控制率</w:t>
            </w:r>
          </w:p>
        </w:tc>
        <w:tc>
          <w:tcPr>
            <w:tcW w:w="6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58" w:type="dxa"/>
          </w:tcPr>
          <w:p>
            <w:pPr>
              <w:jc w:val="both"/>
              <w:rPr>
                <w:rFonts w:hint="eastAsia"/>
                <w:sz w:val="18"/>
                <w:szCs w:val="18"/>
                <w:vertAlign w:val="baseline"/>
                <w:lang w:eastAsia="zh-CN"/>
              </w:rPr>
            </w:pPr>
            <w:r>
              <w:rPr>
                <w:rFonts w:hint="eastAsia"/>
                <w:sz w:val="18"/>
                <w:szCs w:val="18"/>
                <w:vertAlign w:val="baseline"/>
                <w:lang w:eastAsia="zh-CN"/>
              </w:rPr>
              <w:t>以</w:t>
            </w:r>
            <w:r>
              <w:rPr>
                <w:rFonts w:hint="eastAsia"/>
                <w:sz w:val="18"/>
                <w:szCs w:val="18"/>
                <w:vertAlign w:val="baseline"/>
                <w:lang w:val="en-US" w:eastAsia="zh-CN"/>
              </w:rPr>
              <w:t>100%为标准，在职人员控制</w:t>
            </w:r>
            <w:r>
              <w:rPr>
                <w:rFonts w:hint="default" w:ascii="Arial" w:hAnsi="Arial" w:cs="Arial"/>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100%计5分，每超过一个百分点扣0.5分，扣完为止。</w:t>
            </w:r>
          </w:p>
        </w:tc>
        <w:tc>
          <w:tcPr>
            <w:tcW w:w="2743" w:type="dxa"/>
          </w:tcPr>
          <w:p>
            <w:pPr>
              <w:jc w:val="both"/>
              <w:rPr>
                <w:rFonts w:hint="eastAsia"/>
                <w:sz w:val="18"/>
                <w:szCs w:val="18"/>
                <w:vertAlign w:val="baseline"/>
                <w:lang w:eastAsia="zh-CN"/>
              </w:rPr>
            </w:pPr>
            <w:r>
              <w:rPr>
                <w:rFonts w:hint="eastAsia"/>
                <w:sz w:val="18"/>
                <w:szCs w:val="18"/>
                <w:vertAlign w:val="baseline"/>
                <w:lang w:eastAsia="zh-CN"/>
              </w:rPr>
              <w:t>在职人员控制率</w:t>
            </w:r>
            <w:r>
              <w:rPr>
                <w:rFonts w:hint="eastAsia"/>
                <w:sz w:val="18"/>
                <w:szCs w:val="18"/>
                <w:vertAlign w:val="baseline"/>
                <w:lang w:val="en-US" w:eastAsia="zh-CN"/>
              </w:rPr>
              <w:t>=（232/232）</w:t>
            </w:r>
            <w:r>
              <w:rPr>
                <w:rFonts w:hint="default" w:ascii="Arial" w:hAnsi="Arial" w:cs="Arial"/>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“三公经费”控制率</w:t>
            </w:r>
          </w:p>
        </w:tc>
        <w:tc>
          <w:tcPr>
            <w:tcW w:w="6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558" w:type="dxa"/>
            <w:vAlign w:val="center"/>
          </w:tcPr>
          <w:p>
            <w:pPr>
              <w:jc w:val="both"/>
              <w:rPr>
                <w:rFonts w:hint="eastAsia"/>
                <w:sz w:val="18"/>
                <w:szCs w:val="18"/>
                <w:vertAlign w:val="baseline"/>
                <w:lang w:eastAsia="zh-CN"/>
              </w:rPr>
            </w:pPr>
            <w:r>
              <w:rPr>
                <w:rFonts w:hint="eastAsia"/>
                <w:sz w:val="18"/>
                <w:szCs w:val="18"/>
                <w:vertAlign w:val="baseline"/>
                <w:lang w:eastAsia="zh-CN"/>
              </w:rPr>
              <w:t>“三公经费”控制率</w:t>
            </w:r>
            <w:r>
              <w:rPr>
                <w:rFonts w:hint="default" w:ascii="Arial" w:hAnsi="Arial" w:cs="Arial"/>
                <w:sz w:val="18"/>
                <w:szCs w:val="18"/>
                <w:vertAlign w:val="baseline"/>
                <w:lang w:eastAsia="zh-CN"/>
              </w:rPr>
              <w:t>≤</w:t>
            </w:r>
            <w:r>
              <w:rPr>
                <w:rFonts w:hint="eastAsia" w:asciiTheme="minorEastAsia" w:hAnsiTheme="minorEastAsia" w:cstheme="minorEastAsia"/>
                <w:sz w:val="18"/>
                <w:szCs w:val="18"/>
                <w:vertAlign w:val="baseline"/>
                <w:lang w:val="en-US" w:eastAsia="zh-CN"/>
              </w:rPr>
              <w:t>100%，计6分，每超过一个百分点扣1分，扣完为止。</w:t>
            </w:r>
          </w:p>
        </w:tc>
        <w:tc>
          <w:tcPr>
            <w:tcW w:w="2743" w:type="dxa"/>
            <w:vAlign w:val="center"/>
          </w:tcPr>
          <w:p>
            <w:pPr>
              <w:jc w:val="both"/>
              <w:rPr>
                <w:rFonts w:hint="default"/>
                <w:sz w:val="18"/>
                <w:szCs w:val="18"/>
                <w:vertAlign w:val="baseline"/>
                <w:lang w:val="en-US" w:eastAsia="zh-CN"/>
              </w:rPr>
            </w:pPr>
            <w:r>
              <w:rPr>
                <w:rFonts w:hint="eastAsia"/>
                <w:sz w:val="18"/>
                <w:szCs w:val="18"/>
                <w:vertAlign w:val="baseline"/>
                <w:lang w:eastAsia="zh-CN"/>
              </w:rPr>
              <w:t>“三公经费”控制率</w:t>
            </w:r>
            <w:r>
              <w:rPr>
                <w:rFonts w:hint="eastAsia"/>
                <w:sz w:val="18"/>
                <w:szCs w:val="18"/>
                <w:vertAlign w:val="baseline"/>
                <w:lang w:val="en-US" w:eastAsia="zh-CN"/>
              </w:rPr>
              <w:t>=（7.59/8.40）</w:t>
            </w:r>
            <w:r>
              <w:rPr>
                <w:rFonts w:hint="default"/>
                <w:sz w:val="18"/>
                <w:szCs w:val="18"/>
                <w:vertAlign w:val="baseline"/>
                <w:lang w:val="en-US" w:eastAsia="zh-CN"/>
              </w:rPr>
              <w:t>×</w:t>
            </w:r>
            <w:r>
              <w:rPr>
                <w:rFonts w:hint="eastAsia"/>
                <w:sz w:val="18"/>
                <w:szCs w:val="18"/>
                <w:vertAlign w:val="baseline"/>
                <w:lang w:val="en-US" w:eastAsia="zh-CN"/>
              </w:rPr>
              <w:t>100%=90.38%</w:t>
            </w:r>
          </w:p>
        </w:tc>
        <w:tc>
          <w:tcPr>
            <w:tcW w:w="63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机构设置完成情况</w:t>
            </w:r>
          </w:p>
        </w:tc>
        <w:tc>
          <w:tcPr>
            <w:tcW w:w="6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7</w:t>
            </w:r>
          </w:p>
        </w:tc>
        <w:tc>
          <w:tcPr>
            <w:tcW w:w="4558" w:type="dxa"/>
            <w:vAlign w:val="center"/>
          </w:tcPr>
          <w:p>
            <w:pPr>
              <w:jc w:val="both"/>
              <w:rPr>
                <w:rFonts w:hint="eastAsia"/>
                <w:sz w:val="18"/>
                <w:szCs w:val="18"/>
                <w:vertAlign w:val="baseline"/>
                <w:lang w:eastAsia="zh-CN"/>
              </w:rPr>
            </w:pPr>
            <w:r>
              <w:rPr>
                <w:rFonts w:hint="eastAsia"/>
                <w:sz w:val="18"/>
                <w:szCs w:val="18"/>
                <w:vertAlign w:val="baseline"/>
                <w:lang w:eastAsia="zh-CN"/>
              </w:rPr>
              <w:t>机构设置符合上级要求得</w:t>
            </w:r>
            <w:r>
              <w:rPr>
                <w:rFonts w:hint="eastAsia"/>
                <w:sz w:val="18"/>
                <w:szCs w:val="18"/>
                <w:vertAlign w:val="baseline"/>
                <w:lang w:val="en-US" w:eastAsia="zh-CN"/>
              </w:rPr>
              <w:t>4分，机构完成设置得3分</w:t>
            </w:r>
          </w:p>
        </w:tc>
        <w:tc>
          <w:tcPr>
            <w:tcW w:w="2743" w:type="dxa"/>
            <w:vAlign w:val="center"/>
          </w:tcPr>
          <w:p>
            <w:pPr>
              <w:jc w:val="both"/>
              <w:rPr>
                <w:rFonts w:hint="eastAsia"/>
                <w:color w:val="auto"/>
                <w:sz w:val="18"/>
                <w:szCs w:val="18"/>
                <w:vertAlign w:val="baseline"/>
                <w:lang w:eastAsia="zh-CN"/>
              </w:rPr>
            </w:pPr>
            <w:r>
              <w:rPr>
                <w:rFonts w:hint="eastAsia"/>
                <w:color w:val="auto"/>
                <w:sz w:val="18"/>
                <w:szCs w:val="18"/>
                <w:vertAlign w:val="baseline"/>
                <w:lang w:eastAsia="zh-CN"/>
              </w:rPr>
              <w:t>设</w:t>
            </w:r>
            <w:r>
              <w:rPr>
                <w:rFonts w:hint="eastAsia"/>
                <w:color w:val="auto"/>
                <w:sz w:val="18"/>
                <w:szCs w:val="18"/>
                <w:vertAlign w:val="baseline"/>
                <w:lang w:val="en-US" w:eastAsia="zh-CN"/>
              </w:rPr>
              <w:t>6</w:t>
            </w:r>
            <w:r>
              <w:rPr>
                <w:rFonts w:hint="eastAsia"/>
                <w:sz w:val="18"/>
                <w:szCs w:val="18"/>
                <w:vertAlign w:val="baseline"/>
                <w:lang w:val="en-US" w:eastAsia="zh-CN"/>
              </w:rPr>
              <w:t>个机构，下辖3站及23</w:t>
            </w:r>
            <w:r>
              <w:rPr>
                <w:rFonts w:hint="eastAsia"/>
                <w:sz w:val="18"/>
                <w:szCs w:val="18"/>
                <w:vertAlign w:val="baseline"/>
                <w:lang w:eastAsia="zh-CN"/>
              </w:rPr>
              <w:t>个</w:t>
            </w:r>
            <w:r>
              <w:rPr>
                <w:rFonts w:hint="eastAsia"/>
                <w:sz w:val="18"/>
                <w:szCs w:val="18"/>
                <w:vertAlign w:val="baseline"/>
                <w:lang w:val="en-US" w:eastAsia="zh-CN"/>
              </w:rPr>
              <w:t>乡镇农机站</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过程</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56分</w:t>
            </w:r>
            <w:r>
              <w:rPr>
                <w:rFonts w:hint="eastAsia"/>
                <w:sz w:val="18"/>
                <w:szCs w:val="18"/>
                <w:vertAlign w:val="baseline"/>
                <w:lang w:eastAsia="zh-CN"/>
              </w:rPr>
              <w:t>）</w:t>
            </w: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预算执行</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20分</w:t>
            </w:r>
            <w:r>
              <w:rPr>
                <w:rFonts w:hint="eastAsia"/>
                <w:sz w:val="18"/>
                <w:szCs w:val="18"/>
                <w:vertAlign w:val="baseline"/>
                <w:lang w:eastAsia="zh-CN"/>
              </w:rPr>
              <w:t>）</w:t>
            </w: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预算完成率</w:t>
            </w:r>
          </w:p>
        </w:tc>
        <w:tc>
          <w:tcPr>
            <w:tcW w:w="6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58"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100%计满分，每低于5%扣2分，扣完为止。</w:t>
            </w:r>
          </w:p>
        </w:tc>
        <w:tc>
          <w:tcPr>
            <w:tcW w:w="2743" w:type="dxa"/>
            <w:vAlign w:val="center"/>
          </w:tcPr>
          <w:p>
            <w:pPr>
              <w:jc w:val="both"/>
              <w:rPr>
                <w:rFonts w:hint="eastAsia"/>
                <w:sz w:val="18"/>
                <w:szCs w:val="18"/>
                <w:vertAlign w:val="baseline"/>
                <w:lang w:eastAsia="zh-CN"/>
              </w:rPr>
            </w:pPr>
            <w:r>
              <w:rPr>
                <w:rFonts w:hint="eastAsia"/>
                <w:sz w:val="18"/>
                <w:szCs w:val="18"/>
                <w:vertAlign w:val="baseline"/>
                <w:lang w:val="en-US" w:eastAsia="zh-CN"/>
              </w:rPr>
              <w:t>预算完成率（1,756.45/1,756.45）</w:t>
            </w:r>
            <w:r>
              <w:rPr>
                <w:rFonts w:hint="default"/>
                <w:sz w:val="18"/>
                <w:szCs w:val="18"/>
                <w:vertAlign w:val="baseline"/>
                <w:lang w:val="en-US" w:eastAsia="zh-CN"/>
              </w:rPr>
              <w:t>×100%=</w:t>
            </w:r>
            <w:r>
              <w:rPr>
                <w:rFonts w:hint="eastAsia"/>
                <w:sz w:val="18"/>
                <w:szCs w:val="18"/>
                <w:vertAlign w:val="baseline"/>
                <w:lang w:val="en-US" w:eastAsia="zh-CN"/>
              </w:rPr>
              <w:t>100</w:t>
            </w:r>
            <w:r>
              <w:rPr>
                <w:rFonts w:hint="default"/>
                <w:sz w:val="18"/>
                <w:szCs w:val="18"/>
                <w:vertAlign w:val="baseline"/>
                <w:lang w:val="en-US" w:eastAsia="zh-CN"/>
              </w:rPr>
              <w:t>%</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预算控制率</w:t>
            </w:r>
          </w:p>
        </w:tc>
        <w:tc>
          <w:tcPr>
            <w:tcW w:w="6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58" w:type="dxa"/>
            <w:vAlign w:val="center"/>
          </w:tcPr>
          <w:p>
            <w:pPr>
              <w:jc w:val="both"/>
              <w:rPr>
                <w:rFonts w:hint="eastAsia"/>
                <w:sz w:val="18"/>
                <w:szCs w:val="18"/>
                <w:vertAlign w:val="baseline"/>
                <w:lang w:eastAsia="zh-CN"/>
              </w:rPr>
            </w:pPr>
            <w:r>
              <w:rPr>
                <w:rFonts w:hint="eastAsia"/>
                <w:sz w:val="18"/>
                <w:szCs w:val="18"/>
                <w:vertAlign w:val="baseline"/>
                <w:lang w:eastAsia="zh-CN"/>
              </w:rPr>
              <w:t>预算控制率</w:t>
            </w:r>
            <w:r>
              <w:rPr>
                <w:rFonts w:hint="default" w:ascii="Arial" w:hAnsi="Arial" w:cs="Arial"/>
                <w:sz w:val="18"/>
                <w:szCs w:val="18"/>
                <w:vertAlign w:val="baseline"/>
                <w:lang w:eastAsia="zh-CN"/>
              </w:rPr>
              <w:t>≤</w:t>
            </w:r>
            <w:r>
              <w:rPr>
                <w:rFonts w:hint="eastAsia" w:asciiTheme="minorEastAsia" w:hAnsiTheme="minorEastAsia" w:cstheme="minorEastAsia"/>
                <w:sz w:val="18"/>
                <w:szCs w:val="18"/>
                <w:vertAlign w:val="baseline"/>
                <w:lang w:val="en-US" w:eastAsia="zh-CN"/>
              </w:rPr>
              <w:t>0计5分，0-10%计4分，10-20%计3分，20-30%计2分，大于30%不得分。</w:t>
            </w: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预算控制率</w:t>
            </w:r>
            <w:r>
              <w:rPr>
                <w:rFonts w:hint="eastAsia"/>
                <w:sz w:val="18"/>
                <w:szCs w:val="18"/>
                <w:vertAlign w:val="baseline"/>
                <w:lang w:val="en-US" w:eastAsia="zh-CN"/>
              </w:rPr>
              <w:t>（0）/1,756.45=0</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新建楼堂馆所面积控制率</w:t>
            </w:r>
          </w:p>
        </w:tc>
        <w:tc>
          <w:tcPr>
            <w:tcW w:w="6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58"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100%以下（含）计满分，每超出5%扣2分，扣完为止。没有楼堂馆所项目计满分。</w:t>
            </w: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无新建楼堂馆所</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新建楼堂馆所投资概算控制率</w:t>
            </w:r>
          </w:p>
        </w:tc>
        <w:tc>
          <w:tcPr>
            <w:tcW w:w="6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58" w:type="dxa"/>
            <w:vAlign w:val="center"/>
          </w:tcPr>
          <w:p>
            <w:pPr>
              <w:jc w:val="both"/>
              <w:rPr>
                <w:rFonts w:hint="eastAsia"/>
                <w:sz w:val="18"/>
                <w:szCs w:val="18"/>
                <w:vertAlign w:val="baseline"/>
                <w:lang w:eastAsia="zh-CN"/>
              </w:rPr>
            </w:pPr>
            <w:r>
              <w:rPr>
                <w:rFonts w:hint="eastAsia"/>
                <w:sz w:val="18"/>
                <w:szCs w:val="18"/>
                <w:vertAlign w:val="baseline"/>
                <w:lang w:val="en-US" w:eastAsia="zh-CN"/>
              </w:rPr>
              <w:t>100%以下（含）计满分，每超出5%扣2分，扣完为止。没有楼堂馆所项目计满分。</w:t>
            </w: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无新建楼堂馆所</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eastAsiaTheme="minorEastAsia"/>
                <w:sz w:val="18"/>
                <w:szCs w:val="18"/>
                <w:vertAlign w:val="baseline"/>
                <w:lang w:val="en-US" w:eastAsia="zh-CN"/>
              </w:rPr>
            </w:pPr>
            <w:r>
              <w:rPr>
                <w:rFonts w:hint="eastAsia"/>
                <w:sz w:val="18"/>
                <w:szCs w:val="18"/>
                <w:vertAlign w:val="baseline"/>
                <w:lang w:eastAsia="zh-CN"/>
              </w:rPr>
              <w:t>预算管理</w:t>
            </w:r>
            <w:r>
              <w:rPr>
                <w:rFonts w:hint="eastAsia"/>
                <w:sz w:val="18"/>
                <w:szCs w:val="18"/>
                <w:vertAlign w:val="baseline"/>
                <w:lang w:val="en-US" w:eastAsia="zh-CN"/>
              </w:rPr>
              <w:t>(36分）</w:t>
            </w: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人员经费控制率</w:t>
            </w:r>
          </w:p>
        </w:tc>
        <w:tc>
          <w:tcPr>
            <w:tcW w:w="6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558"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100%以下（含）计满分，每超出10%扣1分，扣完为止。</w:t>
            </w: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人</w:t>
            </w:r>
            <w:r>
              <w:rPr>
                <w:rFonts w:hint="eastAsia"/>
                <w:sz w:val="18"/>
                <w:szCs w:val="18"/>
                <w:vertAlign w:val="baseline"/>
                <w:lang w:val="en-US" w:eastAsia="zh-CN"/>
              </w:rPr>
              <w:t>员经费控制率1,466.28/2,027.86=72.31%</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公用经费控制率</w:t>
            </w:r>
          </w:p>
        </w:tc>
        <w:tc>
          <w:tcPr>
            <w:tcW w:w="6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558"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100%以下（含）计满分，每超出10%扣1分，扣完为止。</w:t>
            </w: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公</w:t>
            </w:r>
            <w:r>
              <w:rPr>
                <w:rFonts w:hint="eastAsia"/>
                <w:sz w:val="18"/>
                <w:szCs w:val="18"/>
                <w:vertAlign w:val="baseline"/>
                <w:lang w:val="en-US" w:eastAsia="zh-CN"/>
              </w:rPr>
              <w:t>用经费控制率182.37/33.80=539.56%</w:t>
            </w:r>
          </w:p>
        </w:tc>
        <w:tc>
          <w:tcPr>
            <w:tcW w:w="63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政府采购执行率</w:t>
            </w:r>
          </w:p>
        </w:tc>
        <w:tc>
          <w:tcPr>
            <w:tcW w:w="6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558"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100%计满分，每超过（降低）5%扣2分，扣完为止。</w:t>
            </w:r>
          </w:p>
        </w:tc>
        <w:tc>
          <w:tcPr>
            <w:tcW w:w="2743" w:type="dxa"/>
            <w:vAlign w:val="center"/>
          </w:tcPr>
          <w:p>
            <w:pPr>
              <w:jc w:val="both"/>
              <w:rPr>
                <w:rFonts w:hint="default"/>
                <w:sz w:val="18"/>
                <w:szCs w:val="18"/>
                <w:vertAlign w:val="baseline"/>
                <w:lang w:val="en-US" w:eastAsia="zh-CN"/>
              </w:rPr>
            </w:pPr>
            <w:r>
              <w:rPr>
                <w:rFonts w:hint="eastAsia"/>
                <w:sz w:val="18"/>
                <w:szCs w:val="18"/>
                <w:vertAlign w:val="baseline"/>
                <w:lang w:val="en-US" w:eastAsia="zh-CN"/>
              </w:rPr>
              <w:t>均执行政府采购申报审批表</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743" w:type="dxa"/>
            <w:vAlign w:val="center"/>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管理制度健全性</w:t>
            </w:r>
          </w:p>
        </w:tc>
        <w:tc>
          <w:tcPr>
            <w:tcW w:w="670" w:type="dxa"/>
            <w:vAlign w:val="center"/>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8</w:t>
            </w:r>
          </w:p>
        </w:tc>
        <w:tc>
          <w:tcPr>
            <w:tcW w:w="4558" w:type="dxa"/>
            <w:vAlign w:val="center"/>
          </w:tcPr>
          <w:p>
            <w:pPr>
              <w:jc w:val="both"/>
              <w:rPr>
                <w:rFonts w:hint="eastAsia" w:asciiTheme="minorEastAsia" w:hAnsiTheme="minorEastAsia" w:cstheme="minorEastAsia"/>
                <w:sz w:val="18"/>
                <w:szCs w:val="18"/>
                <w:vertAlign w:val="baseline"/>
                <w:lang w:val="en-US" w:eastAsia="zh-CN"/>
              </w:rPr>
            </w:pPr>
            <w:r>
              <w:rPr>
                <w:rFonts w:hint="default" w:ascii="Calibri" w:hAnsi="Calibri" w:cs="Calibri"/>
                <w:sz w:val="18"/>
                <w:szCs w:val="18"/>
                <w:vertAlign w:val="baseline"/>
                <w:lang w:val="en-US" w:eastAsia="zh-CN"/>
              </w:rPr>
              <w:t>①</w:t>
            </w:r>
            <w:r>
              <w:rPr>
                <w:rFonts w:hint="eastAsia" w:asciiTheme="minorEastAsia" w:hAnsiTheme="minorEastAsia" w:cstheme="minorEastAsia"/>
                <w:sz w:val="18"/>
                <w:szCs w:val="18"/>
                <w:vertAlign w:val="baseline"/>
                <w:lang w:val="en-US" w:eastAsia="zh-CN"/>
              </w:rPr>
              <w:t>有内部财务管理制度、会计核算制度等管理制度，2分</w:t>
            </w:r>
            <w:r>
              <w:rPr>
                <w:rFonts w:hint="default" w:ascii="Calibri" w:hAnsi="Calibri" w:cs="Calibri"/>
                <w:sz w:val="18"/>
                <w:szCs w:val="18"/>
                <w:vertAlign w:val="baseline"/>
                <w:lang w:val="en-US" w:eastAsia="zh-CN"/>
              </w:rPr>
              <w:t>②</w:t>
            </w:r>
            <w:r>
              <w:rPr>
                <w:rFonts w:hint="eastAsia" w:asciiTheme="minorEastAsia" w:hAnsiTheme="minorEastAsia" w:cstheme="minorEastAsia"/>
                <w:sz w:val="18"/>
                <w:szCs w:val="18"/>
                <w:vertAlign w:val="baseline"/>
                <w:lang w:val="en-US" w:eastAsia="zh-CN"/>
              </w:rPr>
              <w:t>有本部门厉行节约制度，2分</w:t>
            </w:r>
            <w:r>
              <w:rPr>
                <w:rFonts w:hint="default" w:ascii="Calibri" w:hAnsi="Calibri" w:cs="Calibri"/>
                <w:sz w:val="18"/>
                <w:szCs w:val="18"/>
                <w:vertAlign w:val="baseline"/>
                <w:lang w:val="en-US" w:eastAsia="zh-CN"/>
              </w:rPr>
              <w:t>③</w:t>
            </w:r>
            <w:r>
              <w:rPr>
                <w:rFonts w:hint="eastAsia" w:asciiTheme="minorEastAsia" w:hAnsiTheme="minorEastAsia" w:cstheme="minorEastAsia"/>
                <w:sz w:val="18"/>
                <w:szCs w:val="18"/>
                <w:vertAlign w:val="baseline"/>
                <w:lang w:val="en-US" w:eastAsia="zh-CN"/>
              </w:rPr>
              <w:t>相关管理制度合法、合规、完整，2分</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4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④</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相关管理制度得到有效执行，2分</w:t>
            </w:r>
          </w:p>
          <w:p>
            <w:pPr>
              <w:jc w:val="both"/>
              <w:rPr>
                <w:rFonts w:hint="eastAsia" w:asciiTheme="minorEastAsia" w:hAnsiTheme="minorEastAsia" w:cstheme="minorEastAsia"/>
                <w:sz w:val="18"/>
                <w:szCs w:val="18"/>
                <w:vertAlign w:val="baseline"/>
                <w:lang w:val="en-US" w:eastAsia="zh-CN"/>
              </w:rPr>
            </w:pPr>
          </w:p>
        </w:tc>
        <w:tc>
          <w:tcPr>
            <w:tcW w:w="2743" w:type="dxa"/>
            <w:vAlign w:val="center"/>
          </w:tcPr>
          <w:p>
            <w:pPr>
              <w:jc w:val="both"/>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有财务管理、公务接待、政务公开、干部任务、纪检监察信访工作、效能告诫等管理制度，但相关管理制度未完全执行。</w:t>
            </w:r>
          </w:p>
          <w:p>
            <w:pPr>
              <w:jc w:val="both"/>
              <w:rPr>
                <w:rFonts w:hint="eastAsia"/>
                <w:sz w:val="18"/>
                <w:szCs w:val="18"/>
                <w:vertAlign w:val="baseline"/>
                <w:lang w:eastAsia="zh-CN"/>
              </w:rPr>
            </w:pPr>
          </w:p>
        </w:tc>
        <w:tc>
          <w:tcPr>
            <w:tcW w:w="63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743" w:type="dxa"/>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资金使用合规性</w:t>
            </w:r>
          </w:p>
        </w:tc>
        <w:tc>
          <w:tcPr>
            <w:tcW w:w="67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58" w:type="dxa"/>
          </w:tcPr>
          <w:p>
            <w:pPr>
              <w:jc w:val="both"/>
              <w:rPr>
                <w:rFonts w:hint="eastAsia"/>
                <w:sz w:val="18"/>
                <w:szCs w:val="18"/>
                <w:vertAlign w:val="baseline"/>
                <w:lang w:val="en-US" w:eastAsia="zh-CN"/>
              </w:rPr>
            </w:pPr>
            <w:r>
              <w:rPr>
                <w:rFonts w:hint="default" w:ascii="Calibri" w:hAnsi="Calibri" w:cs="Calibri"/>
                <w:sz w:val="18"/>
                <w:szCs w:val="18"/>
                <w:vertAlign w:val="baseline"/>
                <w:lang w:val="en-US" w:eastAsia="zh-CN"/>
              </w:rPr>
              <w:t>①</w:t>
            </w:r>
            <w:r>
              <w:rPr>
                <w:rFonts w:hint="eastAsia" w:asciiTheme="minorEastAsia" w:hAnsiTheme="minorEastAsia" w:cstheme="minorEastAsia"/>
                <w:sz w:val="18"/>
                <w:szCs w:val="18"/>
                <w:vertAlign w:val="baseline"/>
                <w:lang w:val="en-US" w:eastAsia="zh-CN"/>
              </w:rPr>
              <w:t>支出符合国家财政法规和财务管理制度规定以及有关专项资金管理办法的规定。</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2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②</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资金拨付有完整的审批程序和手续。</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3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③</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项目支出按规定经过评估论证。</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4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④</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支出符合部门预算批复的用途。</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5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⑤</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资金使用无截留、挤占、挪用、虚列支出等情况。以上情况每出现一例不符合要求的扣1分，扣完为止。</w:t>
            </w:r>
          </w:p>
        </w:tc>
        <w:tc>
          <w:tcPr>
            <w:tcW w:w="2743" w:type="dxa"/>
          </w:tcPr>
          <w:p>
            <w:pPr>
              <w:jc w:val="both"/>
              <w:rPr>
                <w:rFonts w:hint="default"/>
                <w:sz w:val="18"/>
                <w:szCs w:val="18"/>
                <w:vertAlign w:val="baseline"/>
                <w:lang w:val="en-US" w:eastAsia="zh-CN"/>
              </w:rPr>
            </w:pPr>
            <w:r>
              <w:rPr>
                <w:rFonts w:hint="eastAsia" w:asciiTheme="minorEastAsia" w:hAnsiTheme="minorEastAsia" w:cstheme="minorEastAsia"/>
                <w:sz w:val="18"/>
                <w:szCs w:val="18"/>
                <w:vertAlign w:val="baseline"/>
                <w:lang w:val="en-US" w:eastAsia="zh-CN"/>
              </w:rPr>
              <w:t>项目管理有加强。</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743" w:type="dxa"/>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预决算信息公开性</w:t>
            </w:r>
          </w:p>
        </w:tc>
        <w:tc>
          <w:tcPr>
            <w:tcW w:w="67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58" w:type="dxa"/>
          </w:tcPr>
          <w:p>
            <w:pPr>
              <w:jc w:val="both"/>
              <w:rPr>
                <w:rFonts w:hint="eastAsia"/>
                <w:sz w:val="18"/>
                <w:szCs w:val="18"/>
                <w:vertAlign w:val="baseline"/>
                <w:lang w:val="en-US" w:eastAsia="zh-CN"/>
              </w:rPr>
            </w:pP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1 \* GB3 \* MERGEFORMAT </w:instrText>
            </w:r>
            <w:r>
              <w:rPr>
                <w:rFonts w:hint="eastAsia"/>
                <w:sz w:val="18"/>
                <w:szCs w:val="18"/>
                <w:vertAlign w:val="baseline"/>
                <w:lang w:val="en-US" w:eastAsia="zh-CN"/>
              </w:rPr>
              <w:fldChar w:fldCharType="separate"/>
            </w:r>
            <w:r>
              <w:rPr>
                <w:sz w:val="18"/>
                <w:szCs w:val="18"/>
              </w:rPr>
              <w:t>①</w:t>
            </w:r>
            <w:r>
              <w:rPr>
                <w:rFonts w:hint="eastAsia"/>
                <w:sz w:val="18"/>
                <w:szCs w:val="18"/>
                <w:vertAlign w:val="baseline"/>
                <w:lang w:val="en-US" w:eastAsia="zh-CN"/>
              </w:rPr>
              <w:fldChar w:fldCharType="end"/>
            </w:r>
            <w:r>
              <w:rPr>
                <w:rFonts w:hint="eastAsia"/>
                <w:sz w:val="18"/>
                <w:szCs w:val="18"/>
                <w:vertAlign w:val="baseline"/>
                <w:lang w:val="en-US" w:eastAsia="zh-CN"/>
              </w:rPr>
              <w:t>按规定内容公开预决算信息，1分。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2 \* GB3 \* MERGEFORMAT </w:instrText>
            </w:r>
            <w:r>
              <w:rPr>
                <w:rFonts w:hint="eastAsia"/>
                <w:sz w:val="18"/>
                <w:szCs w:val="18"/>
                <w:vertAlign w:val="baseline"/>
                <w:lang w:val="en-US" w:eastAsia="zh-CN"/>
              </w:rPr>
              <w:fldChar w:fldCharType="separate"/>
            </w:r>
            <w:r>
              <w:rPr>
                <w:sz w:val="18"/>
                <w:szCs w:val="18"/>
              </w:rPr>
              <w:t>②</w:t>
            </w:r>
            <w:r>
              <w:rPr>
                <w:rFonts w:hint="eastAsia"/>
                <w:sz w:val="18"/>
                <w:szCs w:val="18"/>
                <w:vertAlign w:val="baseline"/>
                <w:lang w:val="en-US" w:eastAsia="zh-CN"/>
              </w:rPr>
              <w:fldChar w:fldCharType="end"/>
            </w:r>
            <w:r>
              <w:rPr>
                <w:rFonts w:hint="eastAsia"/>
                <w:sz w:val="18"/>
                <w:szCs w:val="18"/>
                <w:vertAlign w:val="baseline"/>
                <w:lang w:val="en-US" w:eastAsia="zh-CN"/>
              </w:rPr>
              <w:t>按规定时限公开预决算信息，1分。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3 \* GB3 \* MERGEFORMAT </w:instrText>
            </w:r>
            <w:r>
              <w:rPr>
                <w:rFonts w:hint="eastAsia"/>
                <w:sz w:val="18"/>
                <w:szCs w:val="18"/>
                <w:vertAlign w:val="baseline"/>
                <w:lang w:val="en-US" w:eastAsia="zh-CN"/>
              </w:rPr>
              <w:fldChar w:fldCharType="separate"/>
            </w:r>
            <w:r>
              <w:rPr>
                <w:sz w:val="18"/>
                <w:szCs w:val="18"/>
              </w:rPr>
              <w:t>③</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基础数据信息和会计信息资料真实，1分。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4 \* GB3 \* MERGEFORMAT </w:instrText>
            </w:r>
            <w:r>
              <w:rPr>
                <w:rFonts w:hint="eastAsia"/>
                <w:sz w:val="18"/>
                <w:szCs w:val="18"/>
                <w:vertAlign w:val="baseline"/>
                <w:lang w:val="en-US" w:eastAsia="zh-CN"/>
              </w:rPr>
              <w:fldChar w:fldCharType="separate"/>
            </w:r>
            <w:r>
              <w:rPr>
                <w:sz w:val="18"/>
                <w:szCs w:val="18"/>
              </w:rPr>
              <w:t>④</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基础数据信息和会计信息资料完整，1分。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5 \* GB3 \* MERGEFORMAT </w:instrText>
            </w:r>
            <w:r>
              <w:rPr>
                <w:rFonts w:hint="eastAsia"/>
                <w:sz w:val="18"/>
                <w:szCs w:val="18"/>
                <w:vertAlign w:val="baseline"/>
                <w:lang w:val="en-US" w:eastAsia="zh-CN"/>
              </w:rPr>
              <w:fldChar w:fldCharType="separate"/>
            </w:r>
            <w:r>
              <w:rPr>
                <w:sz w:val="18"/>
                <w:szCs w:val="18"/>
              </w:rPr>
              <w:t>⑤</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基础数据信息和汇集信息资料准确，1分。</w:t>
            </w:r>
          </w:p>
        </w:tc>
        <w:tc>
          <w:tcPr>
            <w:tcW w:w="2743" w:type="dxa"/>
          </w:tcPr>
          <w:p>
            <w:pPr>
              <w:jc w:val="both"/>
              <w:rPr>
                <w:rFonts w:hint="default"/>
                <w:sz w:val="18"/>
                <w:szCs w:val="18"/>
                <w:vertAlign w:val="baseline"/>
                <w:lang w:val="en-US" w:eastAsia="zh-CN"/>
              </w:rPr>
            </w:pPr>
            <w:r>
              <w:rPr>
                <w:rFonts w:hint="eastAsia"/>
                <w:sz w:val="18"/>
                <w:szCs w:val="18"/>
                <w:vertAlign w:val="baseline"/>
                <w:lang w:val="en-US" w:eastAsia="zh-CN"/>
              </w:rPr>
              <w:t>预算、决算均按要求提交</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产出及效率</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26分</w:t>
            </w:r>
            <w:r>
              <w:rPr>
                <w:rFonts w:hint="eastAsia"/>
                <w:sz w:val="18"/>
                <w:szCs w:val="18"/>
                <w:vertAlign w:val="baseline"/>
                <w:lang w:eastAsia="zh-CN"/>
              </w:rPr>
              <w:t>）</w:t>
            </w:r>
          </w:p>
        </w:tc>
        <w:tc>
          <w:tcPr>
            <w:tcW w:w="121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职责履行</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（6分）</w:t>
            </w:r>
          </w:p>
        </w:tc>
        <w:tc>
          <w:tcPr>
            <w:tcW w:w="2743" w:type="dxa"/>
          </w:tcPr>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重点工作实际完成率</w:t>
            </w:r>
          </w:p>
        </w:tc>
        <w:tc>
          <w:tcPr>
            <w:tcW w:w="67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558" w:type="dxa"/>
          </w:tcPr>
          <w:p>
            <w:pPr>
              <w:jc w:val="both"/>
              <w:rPr>
                <w:rFonts w:hint="eastAsia"/>
                <w:sz w:val="18"/>
                <w:szCs w:val="18"/>
                <w:vertAlign w:val="baseline"/>
                <w:lang w:val="en-US" w:eastAsia="zh-CN"/>
              </w:rPr>
            </w:pPr>
            <w:r>
              <w:rPr>
                <w:rFonts w:hint="eastAsia"/>
                <w:sz w:val="18"/>
                <w:szCs w:val="18"/>
                <w:vertAlign w:val="baseline"/>
                <w:lang w:val="en-US" w:eastAsia="zh-CN"/>
              </w:rPr>
              <w:t>根据2018年部门重点工程与重点工作完成情况打分。该项得分=（实际重点工程量与重点工作完成量与完成数）得满分。</w:t>
            </w:r>
          </w:p>
        </w:tc>
        <w:tc>
          <w:tcPr>
            <w:tcW w:w="2743" w:type="dxa"/>
          </w:tcPr>
          <w:p>
            <w:pPr>
              <w:jc w:val="both"/>
              <w:rPr>
                <w:rFonts w:hint="eastAsia"/>
                <w:sz w:val="18"/>
                <w:szCs w:val="18"/>
                <w:vertAlign w:val="baseline"/>
                <w:lang w:val="en-US" w:eastAsia="zh-CN"/>
              </w:rPr>
            </w:pPr>
            <w:r>
              <w:rPr>
                <w:rFonts w:hint="eastAsia"/>
                <w:sz w:val="18"/>
                <w:szCs w:val="18"/>
                <w:vertAlign w:val="baseline"/>
                <w:lang w:val="en-US" w:eastAsia="zh-CN"/>
              </w:rPr>
              <w:t>基本完成了各项工作目标和任务。</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Align w:val="center"/>
          </w:tcPr>
          <w:p>
            <w:pPr>
              <w:jc w:val="center"/>
              <w:rPr>
                <w:rFonts w:hint="eastAsia"/>
                <w:sz w:val="18"/>
                <w:szCs w:val="18"/>
                <w:vertAlign w:val="baseline"/>
                <w:lang w:eastAsia="zh-CN"/>
              </w:rPr>
            </w:pPr>
            <w:r>
              <w:rPr>
                <w:rFonts w:hint="eastAsia"/>
                <w:sz w:val="18"/>
                <w:szCs w:val="18"/>
                <w:vertAlign w:val="baseline"/>
                <w:lang w:eastAsia="zh-CN"/>
              </w:rPr>
              <w:t>履行效益（</w:t>
            </w:r>
            <w:r>
              <w:rPr>
                <w:rFonts w:hint="eastAsia"/>
                <w:sz w:val="18"/>
                <w:szCs w:val="18"/>
                <w:vertAlign w:val="baseline"/>
                <w:lang w:val="en-US" w:eastAsia="zh-CN"/>
              </w:rPr>
              <w:t>20分</w:t>
            </w:r>
            <w:r>
              <w:rPr>
                <w:rFonts w:hint="eastAsia"/>
                <w:sz w:val="18"/>
                <w:szCs w:val="18"/>
                <w:vertAlign w:val="baseline"/>
                <w:lang w:eastAsia="zh-CN"/>
              </w:rPr>
              <w:t>）</w:t>
            </w: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经济效益</w:t>
            </w:r>
          </w:p>
        </w:tc>
        <w:tc>
          <w:tcPr>
            <w:tcW w:w="67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58" w:type="dxa"/>
          </w:tcPr>
          <w:p>
            <w:pPr>
              <w:jc w:val="both"/>
              <w:rPr>
                <w:rFonts w:hint="eastAsia"/>
                <w:sz w:val="18"/>
                <w:szCs w:val="18"/>
                <w:vertAlign w:val="baseline"/>
                <w:lang w:val="en-US" w:eastAsia="zh-CN"/>
              </w:rPr>
            </w:pPr>
            <w:r>
              <w:rPr>
                <w:rFonts w:hint="eastAsia"/>
                <w:sz w:val="18"/>
                <w:szCs w:val="18"/>
                <w:vertAlign w:val="baseline"/>
                <w:lang w:val="en-US" w:eastAsia="zh-CN"/>
              </w:rPr>
              <w:t>通过投入农机总量是否增加、农机培训是否有效达标，农机购置补贴发放是否及时，得5分。</w:t>
            </w:r>
          </w:p>
        </w:tc>
        <w:tc>
          <w:tcPr>
            <w:tcW w:w="2743" w:type="dxa"/>
          </w:tcPr>
          <w:p>
            <w:pPr>
              <w:jc w:val="both"/>
              <w:rPr>
                <w:rFonts w:hint="default"/>
                <w:sz w:val="18"/>
                <w:szCs w:val="18"/>
                <w:vertAlign w:val="baseline"/>
                <w:lang w:val="en-US" w:eastAsia="zh-CN"/>
              </w:rPr>
            </w:pPr>
            <w:r>
              <w:rPr>
                <w:rFonts w:hint="eastAsia"/>
                <w:sz w:val="18"/>
                <w:szCs w:val="18"/>
                <w:vertAlign w:val="baseline"/>
                <w:lang w:val="en-US" w:eastAsia="zh-CN"/>
              </w:rPr>
              <w:t>2018年年底，全市已有农机总动力792500千瓦，21.8万台次，其中拖拉机1864台，耕整机1.03万台，插秧机186台，水稻联合收割机1200台，饲草加工机械680台，茶叶加工机械560台，农田基本建设机械190台，水泵6380台，烘干机55台套，日烘干能力1000吨，共发放农机购置补贴金额363.58万元。2018年共举办免费培训班3期，共培训学员396人次，选送参加了全国农业职业技能比赛衡阳初赛，勇夺衡阳赛区农机驾驶技术第一名和维修技术第二名。</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jc w:val="center"/>
        </w:trPr>
        <w:tc>
          <w:tcPr>
            <w:tcW w:w="1292" w:type="dxa"/>
            <w:vMerge w:val="continue"/>
          </w:tcPr>
          <w:p>
            <w:pPr>
              <w:jc w:val="center"/>
              <w:rPr>
                <w:rFonts w:hint="eastAsia"/>
                <w:sz w:val="18"/>
                <w:szCs w:val="18"/>
                <w:vertAlign w:val="baseline"/>
                <w:lang w:eastAsia="zh-CN"/>
              </w:rPr>
            </w:pPr>
          </w:p>
        </w:tc>
        <w:tc>
          <w:tcPr>
            <w:tcW w:w="1210" w:type="dxa"/>
          </w:tcPr>
          <w:p>
            <w:pPr>
              <w:jc w:val="center"/>
              <w:rPr>
                <w:rFonts w:hint="eastAsia"/>
                <w:sz w:val="18"/>
                <w:szCs w:val="18"/>
                <w:vertAlign w:val="baseline"/>
                <w:lang w:eastAsia="zh-CN"/>
              </w:rPr>
            </w:pP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社会效益</w:t>
            </w:r>
          </w:p>
        </w:tc>
        <w:tc>
          <w:tcPr>
            <w:tcW w:w="670"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58"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通过投入</w:t>
            </w:r>
            <w:r>
              <w:rPr>
                <w:rFonts w:hint="eastAsia"/>
                <w:sz w:val="18"/>
                <w:szCs w:val="18"/>
                <w:vertAlign w:val="baseline"/>
                <w:lang w:val="en-US" w:eastAsia="zh-CN"/>
              </w:rPr>
              <w:t>水稻、油菜生产全程机械化是否提高，特大安全事故是否得到有效控制，得5</w:t>
            </w:r>
            <w:r>
              <w:rPr>
                <w:rFonts w:hint="eastAsia"/>
                <w:color w:val="auto"/>
                <w:sz w:val="18"/>
                <w:szCs w:val="18"/>
                <w:highlight w:val="none"/>
                <w:vertAlign w:val="baseline"/>
                <w:lang w:val="en-US" w:eastAsia="zh-CN"/>
              </w:rPr>
              <w:t>分。</w:t>
            </w:r>
          </w:p>
        </w:tc>
        <w:tc>
          <w:tcPr>
            <w:tcW w:w="2743" w:type="dxa"/>
          </w:tcPr>
          <w:p>
            <w:pPr>
              <w:jc w:val="both"/>
              <w:rPr>
                <w:rFonts w:hint="default"/>
                <w:sz w:val="18"/>
                <w:szCs w:val="18"/>
                <w:vertAlign w:val="baseline"/>
                <w:lang w:val="en-US" w:eastAsia="zh-CN"/>
              </w:rPr>
            </w:pPr>
            <w:r>
              <w:rPr>
                <w:rFonts w:hint="eastAsia"/>
                <w:sz w:val="18"/>
                <w:szCs w:val="18"/>
                <w:vertAlign w:val="baseline"/>
                <w:lang w:val="en-US" w:eastAsia="zh-CN"/>
              </w:rPr>
              <w:t>2018年全市水稻机插面积达到31万亩以上，水稻机耕、机插、机收分别达到103万亩、31.5万亩、101万亩，较2017年分别增加13万亩、3.5万亩、14.37万亩。油菜播种面积46万亩较2017年增加11万亩，其中机耕41.49万亩较2017年增加16.49万亩。缓解了农村劳动力不足问题，2018年全年无特大安全农机事故，保证人们的生命财产安全。</w:t>
            </w:r>
          </w:p>
        </w:tc>
        <w:tc>
          <w:tcPr>
            <w:tcW w:w="638" w:type="dxa"/>
          </w:tcPr>
          <w:p>
            <w:pPr>
              <w:jc w:val="center"/>
              <w:rPr>
                <w:rFonts w:hint="eastAsia"/>
                <w:color w:val="auto"/>
                <w:sz w:val="18"/>
                <w:szCs w:val="18"/>
                <w:highlight w:val="none"/>
                <w:vertAlign w:val="baseline"/>
                <w:lang w:val="en-US" w:eastAsia="zh-CN"/>
              </w:rPr>
            </w:pPr>
          </w:p>
          <w:p>
            <w:pPr>
              <w:jc w:val="center"/>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tcPr>
          <w:p>
            <w:pPr>
              <w:jc w:val="center"/>
              <w:rPr>
                <w:rFonts w:hint="eastAsia"/>
                <w:sz w:val="18"/>
                <w:szCs w:val="18"/>
                <w:vertAlign w:val="baseline"/>
                <w:lang w:eastAsia="zh-CN"/>
              </w:rPr>
            </w:pP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行政效能</w:t>
            </w:r>
          </w:p>
        </w:tc>
        <w:tc>
          <w:tcPr>
            <w:tcW w:w="67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58"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通过经费的投入是否使镇各职能部门的服务更加科学、规范、有效，完善行政职能配置，正常运转，得5分。</w:t>
            </w:r>
          </w:p>
        </w:tc>
        <w:tc>
          <w:tcPr>
            <w:tcW w:w="2743" w:type="dxa"/>
          </w:tcPr>
          <w:p>
            <w:pPr>
              <w:jc w:val="both"/>
              <w:rPr>
                <w:rFonts w:hint="eastAsia"/>
                <w:sz w:val="18"/>
                <w:szCs w:val="18"/>
                <w:vertAlign w:val="baseline"/>
                <w:lang w:val="en-US" w:eastAsia="zh-CN"/>
              </w:rPr>
            </w:pPr>
            <w:r>
              <w:rPr>
                <w:rFonts w:hint="eastAsia"/>
                <w:sz w:val="18"/>
                <w:szCs w:val="18"/>
                <w:vertAlign w:val="baseline"/>
                <w:lang w:val="en-US" w:eastAsia="zh-CN"/>
              </w:rPr>
              <w:t>本年全局行政运行平稳，各项工作职能有序开展，完成各项指标，党风政风持续好转。</w:t>
            </w:r>
          </w:p>
        </w:tc>
        <w:tc>
          <w:tcPr>
            <w:tcW w:w="638" w:type="dxa"/>
            <w:vAlign w:val="center"/>
          </w:tcPr>
          <w:p>
            <w:pPr>
              <w:jc w:val="center"/>
              <w:rPr>
                <w:rFonts w:hint="eastAsia"/>
                <w:color w:val="auto"/>
                <w:sz w:val="18"/>
                <w:szCs w:val="18"/>
                <w:highlight w:val="none"/>
                <w:vertAlign w:val="baseline"/>
                <w:lang w:val="en-US" w:eastAsia="zh-CN"/>
              </w:rPr>
            </w:pPr>
          </w:p>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5</w:t>
            </w:r>
          </w:p>
          <w:p>
            <w:pPr>
              <w:jc w:val="center"/>
              <w:rPr>
                <w:rFonts w:hint="eastAsia"/>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92" w:type="dxa"/>
            <w:vMerge w:val="continue"/>
          </w:tcPr>
          <w:p>
            <w:pPr>
              <w:jc w:val="center"/>
              <w:rPr>
                <w:rFonts w:hint="eastAsia"/>
                <w:sz w:val="18"/>
                <w:szCs w:val="18"/>
                <w:vertAlign w:val="baseline"/>
                <w:lang w:eastAsia="zh-CN"/>
              </w:rPr>
            </w:pPr>
          </w:p>
        </w:tc>
        <w:tc>
          <w:tcPr>
            <w:tcW w:w="1210" w:type="dxa"/>
          </w:tcPr>
          <w:p>
            <w:pPr>
              <w:jc w:val="center"/>
              <w:rPr>
                <w:rFonts w:hint="eastAsia"/>
                <w:sz w:val="18"/>
                <w:szCs w:val="18"/>
                <w:vertAlign w:val="baseline"/>
                <w:lang w:eastAsia="zh-CN"/>
              </w:rPr>
            </w:pPr>
          </w:p>
        </w:tc>
        <w:tc>
          <w:tcPr>
            <w:tcW w:w="2743" w:type="dxa"/>
            <w:vAlign w:val="center"/>
          </w:tcPr>
          <w:p>
            <w:pPr>
              <w:jc w:val="both"/>
              <w:rPr>
                <w:rFonts w:hint="eastAsia"/>
                <w:sz w:val="18"/>
                <w:szCs w:val="18"/>
                <w:vertAlign w:val="baseline"/>
                <w:lang w:eastAsia="zh-CN"/>
              </w:rPr>
            </w:pPr>
            <w:r>
              <w:rPr>
                <w:rFonts w:hint="eastAsia"/>
                <w:sz w:val="18"/>
                <w:szCs w:val="18"/>
                <w:vertAlign w:val="baseline"/>
                <w:lang w:eastAsia="zh-CN"/>
              </w:rPr>
              <w:t>社会公众或服务对象满意度</w:t>
            </w:r>
          </w:p>
        </w:tc>
        <w:tc>
          <w:tcPr>
            <w:tcW w:w="670" w:type="dxa"/>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558" w:type="dxa"/>
            <w:vAlign w:val="top"/>
          </w:tcPr>
          <w:p>
            <w:pPr>
              <w:jc w:val="both"/>
              <w:rPr>
                <w:rFonts w:hint="eastAsia"/>
                <w:sz w:val="18"/>
                <w:szCs w:val="18"/>
                <w:vertAlign w:val="baseline"/>
                <w:lang w:val="en-US" w:eastAsia="zh-CN"/>
              </w:rPr>
            </w:pPr>
            <w:r>
              <w:rPr>
                <w:rFonts w:hint="eastAsia"/>
                <w:sz w:val="18"/>
                <w:szCs w:val="18"/>
                <w:vertAlign w:val="baseline"/>
                <w:lang w:val="en-US" w:eastAsia="zh-CN"/>
              </w:rPr>
              <w:t>90%（含）以上计5分，80%（含）~90%计4分，70%（含）~80%计2分，低于70%计0分。</w:t>
            </w:r>
          </w:p>
        </w:tc>
        <w:tc>
          <w:tcPr>
            <w:tcW w:w="2743" w:type="dxa"/>
            <w:vAlign w:val="top"/>
          </w:tcPr>
          <w:p>
            <w:pPr>
              <w:jc w:val="both"/>
              <w:rPr>
                <w:rFonts w:hint="eastAsia"/>
                <w:sz w:val="18"/>
                <w:szCs w:val="18"/>
                <w:vertAlign w:val="baseline"/>
                <w:lang w:val="en-US" w:eastAsia="zh-CN"/>
              </w:rPr>
            </w:pPr>
            <w:r>
              <w:rPr>
                <w:rFonts w:hint="eastAsia"/>
                <w:sz w:val="18"/>
                <w:szCs w:val="18"/>
                <w:vertAlign w:val="baseline"/>
                <w:lang w:val="en-US" w:eastAsia="zh-CN"/>
              </w:rPr>
              <w:t>服务对象满意度87%</w:t>
            </w:r>
          </w:p>
        </w:tc>
        <w:tc>
          <w:tcPr>
            <w:tcW w:w="638" w:type="dxa"/>
            <w:vAlign w:val="top"/>
          </w:tcPr>
          <w:p>
            <w:pPr>
              <w:jc w:val="center"/>
              <w:rPr>
                <w:rFonts w:hint="eastAsia"/>
                <w:sz w:val="18"/>
                <w:szCs w:val="18"/>
                <w:vertAlign w:val="baseline"/>
                <w:lang w:val="en-US" w:eastAsia="zh-CN"/>
              </w:rPr>
            </w:pPr>
          </w:p>
          <w:p>
            <w:pPr>
              <w:jc w:val="center"/>
              <w:rPr>
                <w:rFonts w:hint="default"/>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92" w:type="dxa"/>
          </w:tcPr>
          <w:p>
            <w:pPr>
              <w:jc w:val="center"/>
              <w:rPr>
                <w:rFonts w:hint="eastAsia"/>
                <w:sz w:val="18"/>
                <w:szCs w:val="18"/>
                <w:vertAlign w:val="baseline"/>
                <w:lang w:eastAsia="zh-CN"/>
              </w:rPr>
            </w:pPr>
            <w:r>
              <w:rPr>
                <w:rFonts w:hint="eastAsia"/>
                <w:sz w:val="18"/>
                <w:szCs w:val="18"/>
                <w:vertAlign w:val="baseline"/>
                <w:lang w:eastAsia="zh-CN"/>
              </w:rPr>
              <w:t>总分</w:t>
            </w:r>
          </w:p>
        </w:tc>
        <w:tc>
          <w:tcPr>
            <w:tcW w:w="1210" w:type="dxa"/>
          </w:tcPr>
          <w:p>
            <w:pPr>
              <w:jc w:val="center"/>
              <w:rPr>
                <w:rFonts w:hint="eastAsia"/>
                <w:sz w:val="18"/>
                <w:szCs w:val="18"/>
                <w:vertAlign w:val="baseline"/>
                <w:lang w:eastAsia="zh-CN"/>
              </w:rPr>
            </w:pPr>
          </w:p>
        </w:tc>
        <w:tc>
          <w:tcPr>
            <w:tcW w:w="2743" w:type="dxa"/>
          </w:tcPr>
          <w:p>
            <w:pPr>
              <w:jc w:val="both"/>
              <w:rPr>
                <w:rFonts w:hint="eastAsia"/>
                <w:sz w:val="18"/>
                <w:szCs w:val="18"/>
                <w:vertAlign w:val="baseline"/>
                <w:lang w:eastAsia="zh-CN"/>
              </w:rPr>
            </w:pPr>
          </w:p>
        </w:tc>
        <w:tc>
          <w:tcPr>
            <w:tcW w:w="670" w:type="dxa"/>
          </w:tcPr>
          <w:p>
            <w:pPr>
              <w:jc w:val="center"/>
              <w:rPr>
                <w:rFonts w:hint="eastAsia"/>
                <w:sz w:val="18"/>
                <w:szCs w:val="18"/>
                <w:vertAlign w:val="baseline"/>
                <w:lang w:val="en-US" w:eastAsia="zh-CN"/>
              </w:rPr>
            </w:pPr>
            <w:r>
              <w:rPr>
                <w:rFonts w:hint="eastAsia"/>
                <w:sz w:val="18"/>
                <w:szCs w:val="18"/>
                <w:vertAlign w:val="baseline"/>
                <w:lang w:val="en-US" w:eastAsia="zh-CN"/>
              </w:rPr>
              <w:t>100</w:t>
            </w:r>
          </w:p>
        </w:tc>
        <w:tc>
          <w:tcPr>
            <w:tcW w:w="4558" w:type="dxa"/>
            <w:vAlign w:val="top"/>
          </w:tcPr>
          <w:p>
            <w:pPr>
              <w:jc w:val="both"/>
              <w:rPr>
                <w:rFonts w:hint="eastAsia"/>
                <w:sz w:val="18"/>
                <w:szCs w:val="18"/>
                <w:vertAlign w:val="baseline"/>
                <w:lang w:val="en-US" w:eastAsia="zh-CN"/>
              </w:rPr>
            </w:pPr>
          </w:p>
        </w:tc>
        <w:tc>
          <w:tcPr>
            <w:tcW w:w="2743" w:type="dxa"/>
            <w:vAlign w:val="top"/>
          </w:tcPr>
          <w:p>
            <w:pPr>
              <w:jc w:val="both"/>
              <w:rPr>
                <w:rFonts w:hint="eastAsia"/>
                <w:sz w:val="18"/>
                <w:szCs w:val="18"/>
                <w:vertAlign w:val="baseline"/>
                <w:lang w:val="en-US" w:eastAsia="zh-CN"/>
              </w:rPr>
            </w:pPr>
          </w:p>
        </w:tc>
        <w:tc>
          <w:tcPr>
            <w:tcW w:w="638" w:type="dxa"/>
            <w:vAlign w:val="top"/>
          </w:tcPr>
          <w:p>
            <w:pPr>
              <w:jc w:val="center"/>
              <w:rPr>
                <w:rFonts w:hint="default"/>
                <w:sz w:val="18"/>
                <w:szCs w:val="18"/>
                <w:vertAlign w:val="baseline"/>
                <w:lang w:val="en-US" w:eastAsia="zh-CN"/>
              </w:rPr>
            </w:pPr>
            <w:r>
              <w:rPr>
                <w:rFonts w:hint="eastAsia"/>
                <w:sz w:val="18"/>
                <w:szCs w:val="18"/>
                <w:vertAlign w:val="baseline"/>
                <w:lang w:val="en-US" w:eastAsia="zh-CN"/>
              </w:rPr>
              <w:t>91</w:t>
            </w:r>
          </w:p>
        </w:tc>
      </w:tr>
    </w:tbl>
    <w:p>
      <w:pPr>
        <w:jc w:val="center"/>
        <w:rPr>
          <w:rFonts w:hint="eastAsia"/>
          <w:sz w:val="18"/>
          <w:szCs w:val="18"/>
          <w:lang w:val="en-US" w:eastAsia="zh-CN"/>
        </w:rPr>
      </w:pPr>
    </w:p>
    <w:p>
      <w:pPr>
        <w:jc w:val="center"/>
        <w:rPr>
          <w:rFonts w:hint="eastAsia"/>
          <w:sz w:val="18"/>
          <w:szCs w:val="18"/>
          <w:lang w:val="en-US" w:eastAsia="zh-CN"/>
        </w:rPr>
      </w:pPr>
    </w:p>
    <w:p>
      <w:pPr>
        <w:rPr>
          <w:sz w:val="18"/>
          <w:szCs w:val="18"/>
        </w:rPr>
      </w:pPr>
    </w:p>
    <w:sectPr>
      <w:headerReference r:id="rId3" w:type="default"/>
      <w:footerReference r:id="rId4" w:type="default"/>
      <w:pgSz w:w="16838" w:h="11906" w:orient="landscape"/>
      <w:pgMar w:top="1440" w:right="1440" w:bottom="1440" w:left="1440" w:header="851" w:footer="992" w:gutter="0"/>
      <w:pgNumType w:start="12"/>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附件</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C5A4E"/>
    <w:rsid w:val="0100348E"/>
    <w:rsid w:val="08F97C16"/>
    <w:rsid w:val="0A771144"/>
    <w:rsid w:val="0B046653"/>
    <w:rsid w:val="0EED519E"/>
    <w:rsid w:val="105E674C"/>
    <w:rsid w:val="15876AE8"/>
    <w:rsid w:val="17FD619E"/>
    <w:rsid w:val="190430DE"/>
    <w:rsid w:val="19C6341F"/>
    <w:rsid w:val="1B8678DF"/>
    <w:rsid w:val="1D04739C"/>
    <w:rsid w:val="1EA818E0"/>
    <w:rsid w:val="1FC360D2"/>
    <w:rsid w:val="20386368"/>
    <w:rsid w:val="20FE292E"/>
    <w:rsid w:val="221B26E2"/>
    <w:rsid w:val="22BD632D"/>
    <w:rsid w:val="256F7066"/>
    <w:rsid w:val="26CD3B56"/>
    <w:rsid w:val="289515A1"/>
    <w:rsid w:val="2ABB7326"/>
    <w:rsid w:val="2EBA391A"/>
    <w:rsid w:val="328636A2"/>
    <w:rsid w:val="34F82C59"/>
    <w:rsid w:val="36B34042"/>
    <w:rsid w:val="36D41284"/>
    <w:rsid w:val="3F8C709E"/>
    <w:rsid w:val="40537495"/>
    <w:rsid w:val="40BE644D"/>
    <w:rsid w:val="42035181"/>
    <w:rsid w:val="47762818"/>
    <w:rsid w:val="4AE255CC"/>
    <w:rsid w:val="4C1A5A81"/>
    <w:rsid w:val="59E508DB"/>
    <w:rsid w:val="5B033C7B"/>
    <w:rsid w:val="5E0310BF"/>
    <w:rsid w:val="5F583E95"/>
    <w:rsid w:val="61830798"/>
    <w:rsid w:val="619C6C55"/>
    <w:rsid w:val="61F50392"/>
    <w:rsid w:val="676C5A4E"/>
    <w:rsid w:val="69882274"/>
    <w:rsid w:val="6B8042F2"/>
    <w:rsid w:val="754D0BC0"/>
    <w:rsid w:val="77BC063F"/>
    <w:rsid w:val="7D612C9E"/>
    <w:rsid w:val="7E1B662C"/>
    <w:rsid w:val="7F8A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2018-01-11T10:26:00Z</dcterms:created>
  <dc:creator>Administrator</dc:creator>
  <cp:lastModifiedBy>袁会计</cp:lastModifiedBy>
  <cp:lastPrinted>2019-12-13T08:27:56Z</cp:lastPrinted>
  <dcterms:modified xsi:type="dcterms:W3CDTF">2019-12-13T08:28:06Z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